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1"/>
        <w:ind w:firstLine="0"/>
        <w:jc w:val="center"/>
        <w:rPr>
          <w:rFonts w:hint="eastAsia" w:ascii="Times New Roman" w:hAnsi="Times New Roman" w:eastAsia="宋体"/>
          <w:b/>
          <w:bCs/>
          <w:color w:val="auto"/>
          <w:sz w:val="52"/>
          <w:szCs w:val="52"/>
          <w:highlight w:val="none"/>
          <w:lang w:eastAsia="zh-CN"/>
        </w:rPr>
      </w:pPr>
      <w:r>
        <w:rPr>
          <w:rFonts w:hint="eastAsia" w:ascii="Times New Roman" w:hAnsi="Times New Roman"/>
          <w:b/>
          <w:bCs/>
          <w:color w:val="auto"/>
          <w:sz w:val="52"/>
          <w:szCs w:val="52"/>
          <w:highlight w:val="none"/>
          <w:lang w:eastAsia="zh-CN"/>
        </w:rPr>
        <w:t xml:space="preserve">2026年度江苏省预算管理一体化平台姜堰区本级及镇街（园区）运维项目</w:t>
      </w:r>
      <w:r/>
    </w:p>
    <w:p>
      <w:pPr>
        <w:pStyle w:val="1241"/>
        <w:ind w:firstLine="0"/>
        <w:jc w:val="center"/>
        <w:rPr>
          <w:rFonts w:ascii="Times New Roman" w:hAnsi="Times New Roman"/>
          <w:b/>
          <w:bCs/>
          <w:color w:val="auto"/>
          <w:sz w:val="52"/>
          <w:szCs w:val="52"/>
          <w:highlight w:val="none"/>
        </w:rPr>
      </w:pPr>
      <w:r>
        <w:rPr>
          <w:rFonts w:ascii="Times New Roman" w:hAnsi="Times New Roman"/>
          <w:b/>
          <w:bCs/>
          <w:color w:val="auto"/>
          <w:sz w:val="52"/>
          <w:szCs w:val="52"/>
          <w:highlight w:val="none"/>
        </w:rPr>
      </w:r>
      <w:r/>
    </w:p>
    <w:p>
      <w:pPr>
        <w:pStyle w:val="1241"/>
        <w:ind w:firstLine="0"/>
        <w:jc w:val="center"/>
        <w:rPr>
          <w:rFonts w:ascii="Times New Roman" w:hAnsi="Times New Roman"/>
          <w:b/>
          <w:bCs/>
          <w:color w:val="auto"/>
          <w:sz w:val="52"/>
          <w:szCs w:val="52"/>
          <w:highlight w:val="none"/>
        </w:rPr>
      </w:pPr>
      <w:r>
        <w:rPr>
          <w:rFonts w:ascii="Times New Roman" w:hAnsi="Times New Roman"/>
          <w:b/>
          <w:bCs/>
          <w:color w:val="auto"/>
          <w:sz w:val="52"/>
          <w:szCs w:val="52"/>
          <w:highlight w:val="none"/>
        </w:rPr>
      </w:r>
      <w:r/>
    </w:p>
    <w:p>
      <w:pPr>
        <w:pStyle w:val="1241"/>
        <w:ind w:firstLine="0"/>
        <w:jc w:val="center"/>
        <w:rPr>
          <w:rFonts w:ascii="Times New Roman" w:hAnsi="Times New Roman"/>
          <w:b/>
          <w:bCs/>
          <w:color w:val="auto"/>
          <w:sz w:val="52"/>
          <w:szCs w:val="52"/>
          <w:highlight w:val="none"/>
        </w:rPr>
      </w:pPr>
      <w:r>
        <w:rPr>
          <w:rFonts w:ascii="Times New Roman" w:hAnsi="Times New Roman"/>
          <w:b/>
          <w:bCs/>
          <w:color w:val="auto"/>
          <w:sz w:val="52"/>
          <w:szCs w:val="52"/>
          <w:highlight w:val="none"/>
        </w:rPr>
      </w:r>
      <w:r/>
    </w:p>
    <w:p>
      <w:pPr>
        <w:pStyle w:val="1241"/>
        <w:ind w:firstLine="0"/>
        <w:jc w:val="center"/>
        <w:rPr>
          <w:rFonts w:ascii="Times New Roman" w:hAnsi="Times New Roman"/>
          <w:b/>
          <w:bCs/>
          <w:color w:val="auto"/>
          <w:sz w:val="52"/>
          <w:szCs w:val="52"/>
          <w:highlight w:val="none"/>
        </w:rPr>
      </w:pPr>
      <w:r>
        <w:rPr>
          <w:rFonts w:ascii="Times New Roman" w:hAnsi="Times New Roman"/>
          <w:b/>
          <w:bCs/>
          <w:color w:val="auto"/>
          <w:sz w:val="52"/>
          <w:szCs w:val="52"/>
          <w:highlight w:val="none"/>
        </w:rPr>
        <w:t xml:space="preserve">竞争性磋商文件</w:t>
      </w:r>
      <w:r/>
    </w:p>
    <w:p>
      <w:pPr>
        <w:pStyle w:val="1241"/>
        <w:ind w:firstLine="0"/>
        <w:jc w:val="center"/>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w:t>
      </w:r>
      <w:r>
        <w:rPr>
          <w:rFonts w:ascii="Times New Roman" w:hAnsi="Times New Roman"/>
          <w:color w:val="auto"/>
          <w:sz w:val="28"/>
          <w:szCs w:val="28"/>
          <w:highlight w:val="none"/>
        </w:rPr>
        <w:t xml:space="preserve">全流程电子化不见面开标）</w:t>
      </w:r>
      <w:r/>
    </w:p>
    <w:p>
      <w:pPr>
        <w:pStyle w:val="1241"/>
        <w:ind w:firstLine="0"/>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1241"/>
        <w:ind w:firstLine="0"/>
        <w:jc w:val="left"/>
        <w:rPr>
          <w:rFonts w:ascii="Times New Roman" w:hAnsi="Times New Roman"/>
          <w:b/>
          <w:bCs/>
          <w:color w:val="auto"/>
          <w:sz w:val="32"/>
          <w:highlight w:val="none"/>
        </w:rPr>
      </w:pPr>
      <w:r>
        <w:rPr>
          <w:rFonts w:ascii="Times New Roman" w:hAnsi="Times New Roman"/>
          <w:b/>
          <w:bCs/>
          <w:color w:val="auto"/>
          <w:sz w:val="32"/>
          <w:highlight w:val="none"/>
        </w:rPr>
      </w:r>
      <w:r/>
    </w:p>
    <w:p>
      <w:pPr>
        <w:pStyle w:val="1241"/>
        <w:ind w:firstLine="0"/>
        <w:jc w:val="center"/>
        <w:rPr>
          <w:rFonts w:ascii="Times New Roman" w:hAnsi="Times New Roman"/>
          <w:b/>
          <w:bCs/>
          <w:color w:val="auto"/>
          <w:sz w:val="32"/>
          <w:highlight w:val="none"/>
        </w:rPr>
      </w:pPr>
      <w:r>
        <w:rPr>
          <w:rFonts w:ascii="Times New Roman" w:hAnsi="Times New Roman"/>
          <w:b/>
          <w:bCs/>
          <w:color w:val="auto"/>
          <w:sz w:val="32"/>
          <w:highlight w:val="none"/>
        </w:rPr>
      </w:r>
      <w:r/>
    </w:p>
    <w:p>
      <w:pPr>
        <w:pStyle w:val="1241"/>
        <w:ind w:firstLine="0"/>
        <w:jc w:val="both"/>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采购人：泰州市姜堰区财政局</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代理机构：江苏经纬资产土地房地产评估测绘工程咨询有限公司</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二〇二五年</w:t>
      </w:r>
      <w:r>
        <w:rPr>
          <w:rFonts w:hint="eastAsia" w:ascii="宋体" w:hAnsi="宋体" w:cs="宋体"/>
          <w:b/>
          <w:bCs/>
          <w:color w:val="auto"/>
          <w:sz w:val="36"/>
          <w:szCs w:val="36"/>
          <w:highlight w:val="none"/>
          <w:lang w:val="en-US" w:eastAsia="zh-CN"/>
        </w:rPr>
        <w:t xml:space="preserve">十一</w:t>
      </w:r>
      <w:r>
        <w:rPr>
          <w:rFonts w:hint="eastAsia" w:ascii="宋体" w:hAnsi="宋体" w:cs="宋体"/>
          <w:b/>
          <w:bCs/>
          <w:color w:val="auto"/>
          <w:sz w:val="36"/>
          <w:szCs w:val="36"/>
          <w:highlight w:val="none"/>
        </w:rPr>
        <w:t xml:space="preserve">月</w:t>
      </w:r>
      <w:r/>
    </w:p>
    <w:p>
      <w:pPr>
        <w:jc w:val="center"/>
        <w:spacing w:line="360" w:lineRule="auto"/>
        <w:rPr>
          <w:rFonts w:hint="eastAsia" w:ascii="宋体" w:hAnsi="宋体" w:cs="宋体"/>
          <w:b/>
          <w:bCs/>
          <w:color w:val="auto"/>
          <w:sz w:val="30"/>
          <w:szCs w:val="30"/>
          <w:highlight w:val="none"/>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bCs/>
          <w:color w:val="auto"/>
          <w:sz w:val="30"/>
          <w:szCs w:val="30"/>
          <w:highlight w:val="none"/>
        </w:rPr>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目  录</w:t>
      </w:r>
      <w:r/>
    </w:p>
    <w:p>
      <w:pPr>
        <w:pStyle w:val="1234"/>
        <w:ind w:firstLine="301"/>
        <w:rPr>
          <w:rFonts w:ascii="宋体" w:hAnsi="宋体" w:cs="宋体"/>
          <w:b/>
          <w:bCs/>
          <w:color w:val="auto"/>
          <w:sz w:val="30"/>
          <w:szCs w:val="30"/>
          <w:highlight w:val="none"/>
        </w:rPr>
      </w:pPr>
      <w:r>
        <w:rPr>
          <w:rFonts w:ascii="宋体" w:hAnsi="宋体" w:cs="宋体"/>
          <w:b/>
          <w:bCs/>
          <w:color w:val="auto"/>
          <w:sz w:val="30"/>
          <w:szCs w:val="30"/>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"_Toc16887" </w:instrText>
      </w:r>
      <w:r>
        <w:rPr>
          <w:color w:val="auto"/>
          <w:highlight w:val="none"/>
        </w:rPr>
        <w:fldChar w:fldCharType="separate"/>
      </w:r>
      <w:r>
        <w:rPr>
          <w:rFonts w:hint="eastAsia" w:ascii="宋体" w:hAnsi="宋体" w:cs="宋体"/>
          <w:color w:val="auto"/>
          <w:sz w:val="28"/>
          <w:szCs w:val="28"/>
          <w:highlight w:val="none"/>
        </w:rPr>
        <w:t xml:space="preserve">第一章  竞争性磋商公告</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"_Toc28896" </w:instrText>
      </w:r>
      <w:r>
        <w:rPr>
          <w:color w:val="auto"/>
          <w:highlight w:val="none"/>
        </w:rPr>
        <w:fldChar w:fldCharType="separate"/>
      </w:r>
      <w:r>
        <w:rPr>
          <w:rFonts w:hint="eastAsia" w:ascii="宋体" w:hAnsi="宋体" w:cs="宋体"/>
          <w:color w:val="auto"/>
          <w:sz w:val="28"/>
          <w:szCs w:val="28"/>
          <w:highlight w:val="none"/>
        </w:rPr>
        <w:t xml:space="preserve">第二章  参加磋商的供应商须知</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"_Toc20325" </w:instrText>
      </w:r>
      <w:r>
        <w:rPr>
          <w:color w:val="auto"/>
          <w:highlight w:val="none"/>
        </w:rPr>
        <w:fldChar w:fldCharType="separate"/>
      </w:r>
      <w:r>
        <w:rPr>
          <w:rFonts w:hint="eastAsia" w:ascii="宋体" w:hAnsi="宋体" w:cs="宋体"/>
          <w:color w:val="auto"/>
          <w:sz w:val="28"/>
          <w:szCs w:val="28"/>
          <w:highlight w:val="none"/>
        </w:rPr>
        <w:t xml:space="preserve">第三章  合同条款及格式</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"_Toc32522"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"_Toc10158" </w:instrText>
      </w:r>
      <w:r>
        <w:rPr>
          <w:color w:val="auto"/>
          <w:highlight w:val="none"/>
        </w:rPr>
        <w:fldChar w:fldCharType="separate"/>
      </w:r>
      <w:r>
        <w:rPr>
          <w:rFonts w:hint="eastAsia" w:ascii="宋体" w:hAnsi="宋体" w:cs="宋体"/>
          <w:color w:val="auto"/>
          <w:sz w:val="28"/>
          <w:szCs w:val="28"/>
          <w:highlight w:val="none"/>
        </w:rPr>
        <w:t xml:space="preserve">第五章  评审方法和评审标准</w:t>
      </w:r>
      <w:r>
        <w:rPr>
          <w:rFonts w:hint="eastAsia" w:ascii="宋体" w:hAnsi="宋体" w:cs="宋体"/>
          <w:color w:val="auto"/>
          <w:sz w:val="28"/>
          <w:szCs w:val="28"/>
          <w:highlight w:val="none"/>
        </w:rPr>
        <w:fldChar w:fldCharType="end"/>
      </w:r>
      <w:r/>
    </w:p>
    <w:p>
      <w:pPr>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"_Toc31610" </w:instrText>
      </w:r>
      <w:r>
        <w:rPr>
          <w:color w:val="auto"/>
          <w:highlight w:val="none"/>
        </w:rPr>
        <w:fldChar w:fldCharType="separate"/>
      </w:r>
      <w:r>
        <w:rPr>
          <w:rFonts w:hint="eastAsia" w:ascii="宋体" w:hAnsi="宋体" w:cs="宋体"/>
          <w:color w:val="auto"/>
          <w:sz w:val="28"/>
          <w:szCs w:val="28"/>
          <w:highlight w:val="none"/>
        </w:rPr>
        <w:t xml:space="preserve">第六章  响应文件的组成和格式</w:t>
      </w:r>
      <w:r>
        <w:rPr>
          <w:rFonts w:hint="eastAsia" w:ascii="宋体" w:hAnsi="宋体" w:cs="宋体"/>
          <w:color w:val="auto"/>
          <w:sz w:val="28"/>
          <w:szCs w:val="28"/>
          <w:highlight w:val="none"/>
        </w:rPr>
        <w:fldChar w:fldCharType="end"/>
      </w:r>
      <w:r/>
    </w:p>
    <w:p>
      <w:pPr>
        <w:rPr>
          <w:color w:val="auto"/>
          <w:highlight w:val="none"/>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szCs w:val="28"/>
          <w:highlight w:val="none"/>
        </w:rPr>
        <w:fldChar w:fldCharType="end"/>
      </w:r>
      <w:r/>
    </w:p>
    <w:p>
      <w:pPr>
        <w:pStyle w:val="1215"/>
        <w:numPr>
          <w:ilvl w:val="0"/>
          <w:numId w:val="1"/>
        </w:numPr>
        <w:spacing w:line="480" w:lineRule="auto"/>
        <w:rPr>
          <w:color w:val="auto"/>
          <w:sz w:val="32"/>
          <w:szCs w:val="32"/>
          <w:highlight w:val="none"/>
        </w:rPr>
      </w:pPr>
      <w:r>
        <w:rPr>
          <w:color w:val="auto"/>
          <w:sz w:val="32"/>
          <w:szCs w:val="32"/>
          <w:highlight w:val="none"/>
        </w:rPr>
        <w:t xml:space="preserve"> </w:t>
      </w:r>
      <w:bookmarkStart w:id="0" w:name="_Toc16887"/>
      <w:r>
        <w:rPr>
          <w:color w:val="auto"/>
          <w:sz w:val="32"/>
          <w:szCs w:val="32"/>
          <w:highlight w:val="none"/>
        </w:rPr>
        <w:t xml:space="preserve">竞争性磋商</w:t>
      </w:r>
      <w:r>
        <w:rPr>
          <w:rFonts w:hint="eastAsia"/>
          <w:color w:val="auto"/>
          <w:sz w:val="32"/>
          <w:szCs w:val="32"/>
          <w:highlight w:val="none"/>
        </w:rPr>
        <w:t xml:space="preserve">公告</w:t>
      </w:r>
      <w:bookmarkEnd w:id="0"/>
      <w:r/>
      <w:r/>
    </w:p>
    <w:p>
      <w:pPr>
        <w:spacing w:line="420" w:lineRule="exact"/>
        <w:rPr>
          <w:rFonts w:ascii="宋体" w:hAnsi="宋体" w:cs="宋体"/>
          <w:color w:val="auto"/>
          <w:spacing w:val="-2"/>
          <w:sz w:val="24"/>
          <w:highlight w:val="none"/>
        </w:rPr>
        <w:pBdr>
          <w:top w:val="single" w:color="auto" w:sz="4" w:space="1"/>
          <w:left w:val="single" w:color="auto" w:sz="4" w:space="4"/>
          <w:bottom w:val="single" w:color="auto" w:sz="4" w:space="1"/>
          <w:right w:val="single" w:color="auto" w:sz="4" w:space="4"/>
        </w:pBdr>
      </w:pPr>
      <w:r/>
      <w:bookmarkStart w:id="1" w:name="_Toc14577347"/>
      <w:r/>
      <w:bookmarkStart w:id="2" w:name="_Toc61149549"/>
      <w:r/>
      <w:bookmarkStart w:id="3" w:name="_Toc513029209"/>
      <w:r>
        <w:rPr>
          <w:rFonts w:hint="eastAsia" w:ascii="宋体" w:hAnsi="宋体" w:cs="宋体"/>
          <w:color w:val="auto"/>
          <w:spacing w:val="-2"/>
          <w:sz w:val="24"/>
          <w:highlight w:val="none"/>
        </w:rPr>
        <w:t xml:space="preserve">项目概况</w:t>
      </w:r>
      <w:r/>
    </w:p>
    <w:p>
      <w:pPr>
        <w:ind w:firstLine="480"/>
        <w:spacing w:line="420" w:lineRule="exact"/>
        <w:rPr>
          <w:rFonts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4" w:name="_Toc28359012"/>
      <w:r/>
      <w:bookmarkStart w:id="5" w:name="_Toc28359089"/>
      <w:r/>
      <w:bookmarkStart w:id="6" w:name="_Toc35393629"/>
      <w:r/>
      <w:bookmarkStart w:id="7" w:name="_Toc35393798"/>
      <w:r>
        <w:rPr>
          <w:rFonts w:hint="eastAsia" w:ascii="宋体" w:hAnsi="宋体" w:cs="宋体"/>
          <w:color w:val="auto"/>
          <w:sz w:val="24"/>
          <w:highlight w:val="none"/>
          <w:lang w:eastAsia="zh-CN"/>
        </w:rPr>
        <w:t xml:space="preserve">2026年度江苏省预算管理一体化平台姜堰区本级及镇街（园区）运维项目JSZC-321204-JWPG-C2025-0022</w:t>
      </w:r>
      <w:r>
        <w:rPr>
          <w:rFonts w:hint="eastAsia" w:ascii="宋体" w:hAnsi="宋体" w:cs="宋体"/>
          <w:color w:val="auto"/>
          <w:sz w:val="24"/>
          <w:highlight w:val="none"/>
        </w:rPr>
        <w:t xml:space="preserve">采购项目的潜在供应商应在江苏政府采购“苏采云”系统获取采购文件，并于2025-</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pStyle w:val="1216"/>
        <w:jc w:val="both"/>
        <w:keepLines w:val="0"/>
        <w:keepNext w:val="0"/>
        <w:spacing w:before="0" w:after="0"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bookmarkEnd w:id="4"/>
      <w:r/>
      <w:bookmarkEnd w:id="5"/>
      <w:r/>
      <w:bookmarkEnd w:id="6"/>
      <w:r/>
      <w:bookmarkEnd w:id="7"/>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JSZC-321204-JWPG-C2025-0</w:t>
      </w:r>
      <w:r>
        <w:rPr>
          <w:rFonts w:hint="eastAsia" w:ascii="宋体" w:hAnsi="宋体" w:cs="宋体"/>
          <w:color w:val="auto"/>
          <w:sz w:val="24"/>
          <w:highlight w:val="none"/>
          <w:lang w:val="en-US" w:eastAsia="zh-CN"/>
        </w:rPr>
        <w:t xml:space="preserve">022</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2026年度江苏省预算管理一体化平台姜堰区本级及镇街（园区）运维项目</w:t>
      </w:r>
      <w:r/>
    </w:p>
    <w:p>
      <w:pPr>
        <w:ind w:firstLine="480"/>
        <w:spacing w:line="360" w:lineRule="auto"/>
        <w:rPr>
          <w:rFonts w:eastAsia="楷体_GB2312"/>
          <w:color w:val="auto"/>
          <w:sz w:val="24"/>
          <w:highlight w:val="none"/>
        </w:rPr>
      </w:pPr>
      <w:r>
        <w:rPr>
          <w:rFonts w:hint="eastAsia" w:ascii="宋体" w:hAnsi="宋体" w:cs="宋体"/>
          <w:color w:val="auto"/>
          <w:sz w:val="24"/>
          <w:highlight w:val="none"/>
        </w:rPr>
        <w:t xml:space="preserve">采购方式：竞争性磋商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85</w:t>
      </w:r>
      <w:r>
        <w:rPr>
          <w:rFonts w:hint="eastAsia" w:ascii="宋体" w:hAnsi="宋体" w:cs="宋体"/>
          <w:color w:val="auto"/>
          <w:sz w:val="24"/>
          <w:highlight w:val="none"/>
        </w:rPr>
        <w:t xml:space="preserve">万元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85</w:t>
      </w:r>
      <w:r>
        <w:rPr>
          <w:rFonts w:hint="eastAsia" w:ascii="宋体" w:hAnsi="宋体" w:cs="宋体"/>
          <w:color w:val="auto"/>
          <w:sz w:val="24"/>
          <w:highlight w:val="none"/>
        </w:rPr>
        <w:t xml:space="preserve">万元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采购需求：</w:t>
      </w:r>
      <w:r>
        <w:rPr>
          <w:rFonts w:hint="eastAsia" w:ascii="宋体" w:hAnsi="宋体" w:cs="宋体"/>
          <w:color w:val="auto"/>
          <w:sz w:val="24"/>
          <w:highlight w:val="none"/>
          <w:lang w:eastAsia="zh-CN"/>
        </w:rPr>
        <w:t xml:space="preserve">2026年度江苏省预算管理一体化平台姜堰区本级及镇街（园区）运维</w:t>
      </w:r>
      <w:r>
        <w:rPr>
          <w:rFonts w:hint="eastAsia" w:ascii="宋体" w:hAnsi="宋体" w:cs="宋体"/>
          <w:color w:val="auto"/>
          <w:sz w:val="24"/>
          <w:highlight w:val="none"/>
        </w:rPr>
        <w:t xml:space="preserve">；详见采购文件第四章</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szCs w:val="20"/>
          <w:highlight w:val="none"/>
          <w:lang w:val="en-US" w:eastAsia="zh-CN"/>
        </w:rPr>
      </w:pPr>
      <w:r>
        <w:rPr>
          <w:rFonts w:hint="eastAsia" w:ascii="宋体" w:hAnsi="宋体" w:cs="宋体"/>
          <w:color w:val="auto"/>
          <w:sz w:val="24"/>
          <w:highlight w:val="none"/>
          <w:shd w:val="clear" w:color="auto" w:fill="ffffff"/>
        </w:rPr>
        <w:t xml:space="preserve">合同履行期限</w:t>
      </w:r>
      <w:r>
        <w:rPr>
          <w:rFonts w:hint="eastAsia" w:ascii="宋体" w:hAnsi="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2026年1月1日</w:t>
      </w:r>
      <w:r>
        <w:rPr>
          <w:rFonts w:hint="eastAsia" w:ascii="宋体" w:hAnsi="宋体" w:cs="宋体"/>
          <w:color w:val="auto"/>
          <w:sz w:val="24"/>
          <w:szCs w:val="20"/>
          <w:highlight w:val="none"/>
        </w:rPr>
        <w:t xml:space="preserve">起至202</w:t>
      </w:r>
      <w:r>
        <w:rPr>
          <w:rFonts w:hint="eastAsia" w:ascii="宋体" w:hAnsi="宋体" w:cs="宋体"/>
          <w:color w:val="auto"/>
          <w:sz w:val="24"/>
          <w:szCs w:val="20"/>
          <w:highlight w:val="none"/>
          <w:lang w:val="en-US" w:eastAsia="zh-CN"/>
        </w:rPr>
        <w:t xml:space="preserve">6</w:t>
      </w:r>
      <w:r>
        <w:rPr>
          <w:rFonts w:hint="eastAsia" w:ascii="宋体" w:hAnsi="宋体" w:cs="宋体"/>
          <w:color w:val="auto"/>
          <w:sz w:val="24"/>
          <w:szCs w:val="20"/>
          <w:highlight w:val="none"/>
        </w:rPr>
        <w:t xml:space="preserve">年12月</w:t>
      </w:r>
      <w:r>
        <w:rPr>
          <w:rFonts w:hint="eastAsia" w:ascii="宋体" w:hAnsi="宋体" w:cs="宋体"/>
          <w:color w:val="auto"/>
          <w:sz w:val="24"/>
          <w:szCs w:val="20"/>
          <w:highlight w:val="none"/>
          <w:lang w:val="en-US" w:eastAsia="zh-CN"/>
        </w:rPr>
        <w:t xml:space="preserve">31日</w:t>
      </w:r>
      <w:r>
        <w:rPr>
          <w:rFonts w:hint="eastAsia" w:ascii="宋体" w:hAnsi="宋体" w:cs="宋体"/>
          <w:color w:val="auto"/>
          <w:sz w:val="24"/>
          <w:szCs w:val="2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本项目不接受联合体。</w:t>
      </w:r>
      <w:r/>
    </w:p>
    <w:p>
      <w:pPr>
        <w:pStyle w:val="1216"/>
        <w:jc w:val="both"/>
        <w:keepLines w:val="0"/>
        <w:keepNext w:val="0"/>
        <w:spacing w:before="0" w:after="0" w:line="480" w:lineRule="auto"/>
        <w:rPr>
          <w:rFonts w:ascii="宋体" w:hAnsi="宋体" w:eastAsia="宋体" w:cs="宋体"/>
          <w:color w:val="auto"/>
          <w:sz w:val="24"/>
          <w:szCs w:val="24"/>
          <w:highlight w:val="none"/>
        </w:rPr>
      </w:pPr>
      <w:r/>
      <w:bookmarkStart w:id="8" w:name="_Toc28359090"/>
      <w:r/>
      <w:bookmarkStart w:id="9" w:name="_Toc35393799"/>
      <w:r/>
      <w:bookmarkStart w:id="10" w:name="_Toc35393630"/>
      <w:r/>
      <w:bookmarkStart w:id="11" w:name="_Toc28359013"/>
      <w:r>
        <w:rPr>
          <w:rFonts w:hint="eastAsia" w:ascii="宋体" w:hAnsi="宋体" w:eastAsia="宋体" w:cs="宋体"/>
          <w:color w:val="auto"/>
          <w:sz w:val="24"/>
          <w:szCs w:val="24"/>
          <w:highlight w:val="none"/>
        </w:rPr>
        <w:t xml:space="preserve">二、申请人的资格要求</w:t>
      </w:r>
      <w:bookmarkEnd w:id="8"/>
      <w:r/>
      <w:bookmarkEnd w:id="9"/>
      <w:r/>
      <w:bookmarkEnd w:id="10"/>
      <w:r/>
      <w:bookmarkEnd w:id="11"/>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（二）落实政府采购政策需满足的资格要求：本项目专门面向中小企业，供应商应为中小微企业、监狱企业、残疾人福利性单位。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（三）本项目的特定资格要求：无。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（四）未被“信用中国”网站（www.creditchina.gov.cn）列入失信被执行人、重大税收违法案件当事人名单、政府采购严重违法失信行为记录名单；</w:t>
      </w:r>
      <w:r/>
    </w:p>
    <w:p>
      <w:pPr>
        <w:ind w:firstLine="480"/>
        <w:spacing w:line="360" w:lineRule="auto"/>
        <w:rPr>
          <w:rFonts w:ascii="宋体" w:hAnsi="宋体" w:cs="宋体"/>
          <w:color w:val="auto"/>
          <w:sz w:val="24"/>
          <w:highlight w:val="none"/>
        </w:rPr>
      </w:pPr>
      <w:r/>
      <w:bookmarkStart w:id="12" w:name="_Toc28359014"/>
      <w:r/>
      <w:bookmarkStart w:id="13" w:name="_Toc35393631"/>
      <w:r/>
      <w:bookmarkStart w:id="14" w:name="_Toc35393800"/>
      <w:r/>
      <w:bookmarkStart w:id="15" w:name="_Toc28359091"/>
      <w:r>
        <w:rPr>
          <w:rFonts w:hint="eastAsia" w:ascii="宋体" w:hAnsi="宋体" w:cs="宋体"/>
          <w:color w:val="auto"/>
          <w:sz w:val="24"/>
          <w:highlight w:val="none"/>
        </w:rPr>
        <w:t xml:space="preserve">注：1.凡为本采购项目提供整体设计、规范编制或者项目管理、监理、检测等服务的供应商，不得再参加本采购项目的其他采购活动；</w:t>
      </w:r>
      <w:r/>
    </w:p>
    <w:p>
      <w:pPr>
        <w:ind w:firstLine="9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2.单位法定代表人/负责人为同一人或者存在直接控股、管理关系的不同供应商，不得参加同一合同项下的政府采购活动。</w:t>
      </w:r>
      <w:r/>
    </w:p>
    <w:p>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三、获取采购文件</w:t>
      </w:r>
      <w:bookmarkEnd w:id="12"/>
      <w:r/>
      <w:bookmarkEnd w:id="13"/>
      <w:r/>
      <w:bookmarkEnd w:id="14"/>
      <w:r/>
      <w:bookmarkEnd w:id="15"/>
      <w:r/>
      <w:r/>
    </w:p>
    <w:p>
      <w:pPr>
        <w:ind w:firstLine="480"/>
        <w:spacing w:line="360" w:lineRule="auto"/>
        <w:rPr>
          <w:rFonts w:ascii="宋体" w:hAnsi="宋体" w:cs="宋体"/>
          <w:color w:val="auto"/>
          <w:sz w:val="24"/>
          <w:highlight w:val="none"/>
        </w:rPr>
      </w:pPr>
      <w:r/>
      <w:bookmarkStart w:id="16" w:name="_Toc35393632"/>
      <w:r/>
      <w:bookmarkStart w:id="17" w:name="_Toc28359015"/>
      <w:r/>
      <w:bookmarkStart w:id="18" w:name="_Toc35393801"/>
      <w:r/>
      <w:bookmarkStart w:id="19" w:name="_Toc28359092"/>
      <w:r>
        <w:rPr>
          <w:rFonts w:hint="eastAsia" w:ascii="宋体" w:hAnsi="宋体" w:cs="宋体"/>
          <w:color w:val="auto"/>
          <w:sz w:val="24"/>
          <w:highlight w:val="none"/>
        </w:rPr>
        <w:t xml:space="preserve">时间：自公告发布之日起5个工作日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地点：江苏政府采购“苏采云”系统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方式：供应商完成注册并办理CA证书后登录江苏政府采购“苏采云”系统下载本项目采购文件。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售价：0.00元</w:t>
      </w:r>
      <w:bookmarkEnd w:id="16"/>
      <w:r/>
      <w:bookmarkEnd w:id="17"/>
      <w:r/>
      <w:bookmarkEnd w:id="18"/>
      <w:r/>
      <w:bookmarkEnd w:id="19"/>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四、响应文件提交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截止时间：2025-</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 09:</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0（北京时间）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地点：江苏政府采购“苏采云”系统不见面开标大厅</w:t>
      </w:r>
      <w:r/>
    </w:p>
    <w:p>
      <w:pPr>
        <w:spacing w:line="360" w:lineRule="auto"/>
        <w:rPr>
          <w:rFonts w:ascii="宋体" w:hAnsi="宋体" w:cs="宋体"/>
          <w:b/>
          <w:bCs/>
          <w:color w:val="auto"/>
          <w:sz w:val="24"/>
          <w:highlight w:val="none"/>
        </w:rPr>
      </w:pPr>
      <w:r/>
      <w:bookmarkStart w:id="20" w:name="_Toc28359016"/>
      <w:r/>
      <w:bookmarkStart w:id="21" w:name="_Toc35393633"/>
      <w:r/>
      <w:bookmarkStart w:id="22" w:name="_Toc35393802"/>
      <w:r/>
      <w:bookmarkStart w:id="23" w:name="_Toc28359093"/>
      <w:r>
        <w:rPr>
          <w:rFonts w:hint="eastAsia" w:ascii="宋体" w:hAnsi="宋体" w:cs="宋体"/>
          <w:b/>
          <w:bCs/>
          <w:color w:val="auto"/>
          <w:sz w:val="24"/>
          <w:highlight w:val="none"/>
        </w:rPr>
        <w:t xml:space="preserve">五、开启</w:t>
      </w:r>
      <w:bookmarkEnd w:id="20"/>
      <w:r/>
      <w:bookmarkEnd w:id="21"/>
      <w:r/>
      <w:bookmarkEnd w:id="22"/>
      <w:r/>
      <w:bookmarkEnd w:id="23"/>
      <w:r/>
      <w:r/>
    </w:p>
    <w:p>
      <w:pPr>
        <w:ind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rPr>
        <w:t xml:space="preserve">时间：2025-</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 09:</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0（北京时间）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地点：江苏政府采购“苏采云”系统不见面开标大厅</w:t>
      </w:r>
      <w:r/>
    </w:p>
    <w:p>
      <w:pPr>
        <w:spacing w:line="360" w:lineRule="auto"/>
        <w:rPr>
          <w:rFonts w:ascii="宋体" w:hAnsi="宋体" w:cs="宋体"/>
          <w:b/>
          <w:bCs/>
          <w:color w:val="auto"/>
          <w:sz w:val="24"/>
          <w:highlight w:val="none"/>
        </w:rPr>
      </w:pPr>
      <w:r/>
      <w:bookmarkStart w:id="24" w:name="_Toc35393803"/>
      <w:r/>
      <w:bookmarkStart w:id="25" w:name="_Toc28359094"/>
      <w:r/>
      <w:bookmarkStart w:id="26" w:name="_Toc28359017"/>
      <w:r/>
      <w:bookmarkStart w:id="27" w:name="_Toc35393634"/>
      <w:r>
        <w:rPr>
          <w:rFonts w:hint="eastAsia" w:ascii="宋体" w:hAnsi="宋体" w:cs="宋体"/>
          <w:b/>
          <w:bCs/>
          <w:color w:val="auto"/>
          <w:sz w:val="24"/>
          <w:highlight w:val="none"/>
        </w:rPr>
        <w:t xml:space="preserve">六、公告期限</w:t>
      </w:r>
      <w:bookmarkEnd w:id="24"/>
      <w:r/>
      <w:bookmarkEnd w:id="25"/>
      <w:r/>
      <w:bookmarkEnd w:id="26"/>
      <w:r/>
      <w:bookmarkEnd w:id="2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bookmarkStart w:id="28" w:name="_Toc35393636"/>
      <w:r/>
      <w:bookmarkStart w:id="29" w:name="_Toc28359095"/>
      <w:r/>
      <w:bookmarkStart w:id="30" w:name="_Toc35393805"/>
      <w:r/>
      <w:bookmarkStart w:id="31" w:name="_Toc28359018"/>
      <w:r/>
      <w:r/>
    </w:p>
    <w:p>
      <w:pPr>
        <w:numPr>
          <w:ilvl w:val="0"/>
          <w:numId w:val="2"/>
        </w:numPr>
        <w:jc w:val="left"/>
        <w:spacing w:line="360" w:lineRule="auto"/>
        <w:widowControl/>
        <w:rPr>
          <w:b/>
          <w:bCs/>
          <w:color w:val="auto"/>
          <w:sz w:val="24"/>
          <w:highlight w:val="none"/>
        </w:rPr>
      </w:pPr>
      <w:r>
        <w:rPr>
          <w:b/>
          <w:bCs/>
          <w:color w:val="auto"/>
          <w:sz w:val="24"/>
          <w:highlight w:val="none"/>
        </w:rPr>
        <w:t xml:space="preserve">其他补充事项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1.采购项目需要落实的政府采购政策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政府采购促进中小企业发展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政府采购支持监狱企业发展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政府采购促进残疾人就业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政府采购鼓励采购绿色节能环保产品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商品包装环保要求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2.本项目采用网上注册登记方式。潜在投标供应商访问电子招标投标交易平台的网络地址和方法：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（1）登录http://www.ccgp-jiangsu.gov.cn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点击“苏采云”进入系统。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CA数字证书”的获取：投标人需办理CA锁（原国信CA须更换新CA,详见http://jsxcmm.com/help/gys.html）。投标客户端工具及投标人操作手册可访问江苏政府采购网，“资料下载”进行下载《江苏省政府采购管理交易系统（苏采云）供应商操作手册及政府采购客户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3.领取CA和办理电子签章请至（泰州市高港区泰州大道388号（原中国医药城会展交易中心W3馆西南角）泰州市公共资源交易中心一楼大厅CA办理窗口，电话：0523-81568158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，根据《江苏省政府采购管理交易系统（苏采云）供应商操作手册》规定，在“苏采云”系统（http://jszfcg.jsczt.cn）中进行注册并按要求制作、上传电子响应文件，技术支持电话：0523-86897512、89182468。</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4.采购代理机构将数据电文形式的采购文件加载至电子招标投标交易平台，供潜在投标人下载或者查阅。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5.有关本次采购的事项若存在变动或修改，敬请及时关注“江苏政府采购网”发布的更正公告。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6.如潜在投标供应商未按上述要求操作，将自行承担所产生的一切风险。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7.在评标结束前，各投标人授权代表应保持手机畅通，以便及时澄清答疑、磋商。</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八、凡对本次采购提出询问，请按以下方式联系。</w:t>
      </w:r>
      <w:bookmarkEnd w:id="28"/>
      <w:r/>
      <w:bookmarkEnd w:id="29"/>
      <w:r/>
      <w:bookmarkEnd w:id="30"/>
      <w:r/>
      <w:bookmarkEnd w:id="31"/>
      <w:r/>
      <w:r/>
    </w:p>
    <w:p>
      <w:pPr>
        <w:ind w:firstLine="480"/>
        <w:jc w:val="left"/>
        <w:spacing w:line="360" w:lineRule="auto"/>
        <w:shd w:val="clear" w:color="auto" w:fill="ffffff"/>
        <w:widowControl/>
        <w:rPr>
          <w:rFonts w:ascii="宋体" w:hAnsi="宋体" w:cs="宋体"/>
          <w:color w:val="auto"/>
          <w:sz w:val="24"/>
          <w:highlight w:val="none"/>
        </w:rPr>
      </w:pPr>
      <w:r/>
      <w:bookmarkStart w:id="32" w:name="_Toc28359009"/>
      <w:r/>
      <w:bookmarkStart w:id="33" w:name="_Toc28359086"/>
      <w:r>
        <w:rPr>
          <w:rFonts w:hint="eastAsia" w:ascii="宋体" w:hAnsi="宋体" w:cs="宋体"/>
          <w:color w:val="auto"/>
          <w:sz w:val="24"/>
          <w:highlight w:val="none"/>
        </w:rPr>
        <w:t xml:space="preserve">1.采购人</w:t>
      </w:r>
      <w:r/>
    </w:p>
    <w:p>
      <w:pPr>
        <w:ind w:firstLine="480"/>
        <w:jc w:val="left"/>
        <w:spacing w:line="360" w:lineRule="auto"/>
        <w:shd w:val="clear" w:color="auto" w:fill="ffffff"/>
        <w:widowControl/>
        <w:rPr>
          <w:rFonts w:ascii="宋体" w:hAnsi="宋体" w:cs="宋体"/>
          <w:color w:val="auto"/>
          <w:sz w:val="24"/>
          <w:szCs w:val="20"/>
          <w:highlight w:val="none"/>
        </w:rPr>
      </w:pPr>
      <w:r>
        <w:rPr>
          <w:rFonts w:hint="eastAsia" w:ascii="宋体" w:hAnsi="宋体" w:cs="宋体"/>
          <w:color w:val="auto"/>
          <w:sz w:val="24"/>
          <w:highlight w:val="none"/>
        </w:rPr>
        <w:t xml:space="preserve">单</w:t>
      </w:r>
      <w:r>
        <w:rPr>
          <w:rFonts w:hint="eastAsia" w:ascii="宋体" w:hAnsi="宋体" w:cs="宋体"/>
          <w:color w:val="auto"/>
          <w:sz w:val="24"/>
          <w:szCs w:val="20"/>
          <w:highlight w:val="none"/>
        </w:rPr>
        <w:t xml:space="preserve">位名称：泰州市姜堰区财政局</w:t>
      </w:r>
      <w:r/>
    </w:p>
    <w:p>
      <w:pPr>
        <w:ind w:firstLine="480"/>
        <w:jc w:val="left"/>
        <w:spacing w:line="360" w:lineRule="auto"/>
        <w:shd w:val="clear" w:color="auto" w:fill="ffffff"/>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联系地址：江苏省泰州市姜堰区长江西路10号</w:t>
      </w:r>
      <w:r/>
    </w:p>
    <w:p>
      <w:pPr>
        <w:ind w:firstLine="480"/>
        <w:jc w:val="left"/>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联 系 人：</w:t>
      </w:r>
      <w:r>
        <w:rPr>
          <w:rFonts w:hint="eastAsia" w:ascii="宋体" w:hAnsi="宋体" w:cs="宋体"/>
          <w:color w:val="auto"/>
          <w:sz w:val="24"/>
          <w:szCs w:val="20"/>
          <w:highlight w:val="none"/>
          <w:lang w:val="en-US" w:eastAsia="zh-CN"/>
        </w:rPr>
        <w:t xml:space="preserve">夏</w:t>
      </w:r>
      <w:r>
        <w:rPr>
          <w:rFonts w:hint="eastAsia" w:ascii="宋体" w:hAnsi="宋体" w:cs="宋体"/>
          <w:color w:val="auto"/>
          <w:sz w:val="24"/>
          <w:szCs w:val="20"/>
          <w:highlight w:val="none"/>
        </w:rPr>
        <w:t xml:space="preserve">先生 </w:t>
      </w:r>
      <w:r/>
    </w:p>
    <w:p>
      <w:pPr>
        <w:ind w:firstLine="480"/>
        <w:jc w:val="left"/>
        <w:spacing w:line="360" w:lineRule="auto"/>
        <w:shd w:val="clear" w:color="auto" w:fill="ffffff"/>
        <w:widowControl/>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rPr>
        <w:t xml:space="preserve">联系电话：0523-</w:t>
      </w:r>
      <w:r>
        <w:rPr>
          <w:rFonts w:hint="eastAsia" w:ascii="宋体" w:hAnsi="宋体" w:cs="宋体"/>
          <w:color w:val="auto"/>
          <w:sz w:val="24"/>
          <w:szCs w:val="20"/>
          <w:highlight w:val="none"/>
          <w:lang w:val="en-US" w:eastAsia="zh-CN"/>
        </w:rPr>
        <w:t xml:space="preserve">88212675</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bookmarkEnd w:id="32"/>
      <w:r/>
      <w:bookmarkEnd w:id="33"/>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名 称：江苏经纬资产土地房地产评估测绘工程咨询有限公司</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　址：泰州市海陵区莲花6号小区A幢-8室</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联系人：万工、王工</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联系方式：0523-86330779</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.项目公平竞争审查工作联系方式</w:t>
      </w:r>
      <w:r/>
    </w:p>
    <w:p>
      <w:pPr>
        <w:ind w:firstLine="480"/>
        <w:jc w:val="left"/>
        <w:spacing w:line="360" w:lineRule="auto"/>
        <w:shd w:val="clear" w:color="auto" w:fill="ffffff"/>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夏先生</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联 系 方 式：</w:t>
      </w:r>
      <w:r>
        <w:rPr>
          <w:rFonts w:hint="eastAsia" w:ascii="宋体" w:hAnsi="宋体" w:cs="宋体"/>
          <w:color w:val="auto"/>
          <w:sz w:val="24"/>
          <w:szCs w:val="20"/>
          <w:highlight w:val="none"/>
        </w:rPr>
        <w:t xml:space="preserve">0523-</w:t>
      </w:r>
      <w:r>
        <w:rPr>
          <w:rFonts w:hint="eastAsia" w:ascii="宋体" w:hAnsi="宋体" w:cs="宋体"/>
          <w:color w:val="auto"/>
          <w:sz w:val="24"/>
          <w:szCs w:val="20"/>
          <w:highlight w:val="none"/>
          <w:lang w:val="en-US" w:eastAsia="zh-CN"/>
        </w:rPr>
        <w:t xml:space="preserve">88212675</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r>
      <w:r/>
    </w:p>
    <w:p>
      <w:pPr>
        <w:rPr>
          <w:color w:val="auto"/>
          <w:highlight w:val="none"/>
        </w:rPr>
      </w:pPr>
      <w:r/>
      <w:bookmarkStart w:id="34" w:name="_Toc28896"/>
      <w:r/>
      <w:bookmarkEnd w:id="1"/>
      <w:r/>
      <w:bookmarkEnd w:id="2"/>
      <w:r/>
      <w:bookmarkEnd w:id="3"/>
      <w:r/>
      <w:bookmarkEnd w:id="34"/>
      <w:r/>
      <w:r/>
    </w:p>
    <w:p>
      <w:pPr>
        <w:rPr>
          <w:rFonts w:ascii="宋体" w:hAnsi="宋体" w:cs="宋体"/>
          <w:b/>
          <w:color w:val="auto"/>
          <w:sz w:val="32"/>
          <w:szCs w:val="32"/>
          <w:highlight w:val="none"/>
        </w:rPr>
      </w:pPr>
      <w:r/>
      <w:bookmarkStart w:id="35" w:name="_Toc20325"/>
      <w:r>
        <w:rPr>
          <w:rFonts w:hint="eastAsia" w:ascii="宋体" w:hAnsi="宋体" w:cs="宋体"/>
          <w:b/>
          <w:color w:val="auto"/>
          <w:sz w:val="32"/>
          <w:szCs w:val="32"/>
          <w:highlight w:val="none"/>
        </w:rPr>
        <w:br w:type="page" w:clear="all"/>
      </w:r>
      <w:r/>
    </w:p>
    <w:p>
      <w:pPr>
        <w:jc w:val="center"/>
        <w:spacing w:line="360" w:lineRule="auto"/>
        <w:tabs>
          <w:tab w:val="left" w:pos="1515"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第二章 参加磋商的供应商须知</w:t>
      </w:r>
      <w:r/>
    </w:p>
    <w:p>
      <w:pPr>
        <w:ind w:firstLine="480"/>
        <w:jc w:val="center"/>
        <w:spacing w:line="360" w:lineRule="auto"/>
        <w:rPr>
          <w:rFonts w:ascii="宋体" w:hAnsi="宋体"/>
          <w:b/>
          <w:bCs/>
          <w:color w:val="auto"/>
          <w:sz w:val="24"/>
          <w:highlight w:val="none"/>
        </w:rPr>
      </w:pPr>
      <w:r>
        <w:rPr>
          <w:rFonts w:hint="eastAsia" w:ascii="宋体" w:hAnsi="宋体"/>
          <w:bCs/>
          <w:color w:val="auto"/>
          <w:sz w:val="24"/>
          <w:highlight w:val="none"/>
        </w:rPr>
        <w:t xml:space="preserve">（参加竞争性磋商的供应商以下简称“磋商供应商”）</w:t>
      </w:r>
      <w:r/>
    </w:p>
    <w:p>
      <w:pPr>
        <w:ind w:firstLine="480"/>
        <w:spacing w:line="360" w:lineRule="auto"/>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一、总则</w:t>
      </w:r>
      <w:r/>
    </w:p>
    <w:p>
      <w:pPr>
        <w:ind w:firstLine="480"/>
        <w:spacing w:line="360" w:lineRule="auto"/>
        <w:tabs>
          <w:tab w:val="left" w:pos="900" w:leader="none"/>
          <w:tab w:val="center" w:pos="4873" w:leader="none"/>
        </w:tabs>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适用范围</w:t>
      </w:r>
      <w:r>
        <w:rPr>
          <w:rFonts w:hint="eastAsia" w:ascii="宋体" w:hAnsi="宋体"/>
          <w:color w:val="auto"/>
          <w:sz w:val="24"/>
          <w:highlight w:val="none"/>
        </w:rPr>
        <w:tab/>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本磋商文件仅适用于</w:t>
      </w:r>
      <w:r>
        <w:rPr>
          <w:rFonts w:hint="eastAsia" w:ascii="宋体" w:hAnsi="宋体" w:cs="宋体"/>
          <w:color w:val="auto"/>
          <w:sz w:val="24"/>
          <w:highlight w:val="none"/>
          <w:lang w:eastAsia="zh-CN"/>
        </w:rPr>
        <w:t xml:space="preserve">2026年度江苏省预算管理一体化平台姜堰区本级及镇街（园区）运维项目</w:t>
      </w:r>
      <w:r>
        <w:rPr>
          <w:rFonts w:hint="eastAsia"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项目采购方式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本次采购采取竞争性磋商的方式。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合格的磋商供应商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3.1满足本磋商文件“竞争性磋商采购公告”中合格磋商供应商资格要求的规定。</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3.2满足本磋商文件实质性要求和条件的规定。</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参加磋商的费用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4.1参加磋商的供应商应自行承担所有与参加磋商有关的费用。不论最终的成交结果如何，</w:t>
      </w:r>
      <w:r>
        <w:rPr>
          <w:rFonts w:hint="eastAsia"/>
          <w:color w:val="auto"/>
          <w:sz w:val="24"/>
          <w:highlight w:val="none"/>
        </w:rPr>
        <w:t xml:space="preserve">江苏经纬资产土地房地产评估测绘工程咨询有限公司</w:t>
      </w:r>
      <w:r>
        <w:rPr>
          <w:rFonts w:hint="eastAsia" w:ascii="宋体" w:hAnsi="宋体"/>
          <w:color w:val="auto"/>
          <w:sz w:val="24"/>
          <w:highlight w:val="none"/>
        </w:rPr>
        <w:t xml:space="preserve">（以下简称代理机构）在任何情况下均无义务和责任承担这些费用。</w:t>
      </w:r>
      <w:r/>
    </w:p>
    <w:p>
      <w:pPr>
        <w:ind w:firstLine="480"/>
        <w:spacing w:line="360" w:lineRule="auto"/>
        <w:rPr>
          <w:color w:val="auto"/>
          <w:sz w:val="24"/>
          <w:highlight w:val="none"/>
        </w:rPr>
      </w:pPr>
      <w:r>
        <w:rPr>
          <w:rFonts w:hint="eastAsia"/>
          <w:color w:val="auto"/>
          <w:sz w:val="24"/>
          <w:highlight w:val="none"/>
        </w:rPr>
        <w:t xml:space="preserve">4.2本项目招标代理服务费由成交供应商支付。招标代理服务费参照国家计委计价格〔2002〕1980号文件</w:t>
      </w:r>
      <w:r>
        <w:rPr>
          <w:rFonts w:hint="eastAsia"/>
          <w:color w:val="auto"/>
          <w:sz w:val="24"/>
          <w:highlight w:val="none"/>
          <w:lang w:val="en-US" w:eastAsia="zh-CN"/>
        </w:rPr>
        <w:t xml:space="preserve">的50%</w:t>
      </w:r>
      <w:r>
        <w:rPr>
          <w:rFonts w:hint="eastAsia"/>
          <w:color w:val="auto"/>
          <w:sz w:val="24"/>
          <w:highlight w:val="none"/>
        </w:rPr>
        <w:t xml:space="preserve">收取。</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磋商文件的约束力</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80"/>
        <w:spacing w:line="360" w:lineRule="auto"/>
        <w:tabs>
          <w:tab w:val="left" w:pos="900" w:leader="none"/>
        </w:tabs>
        <w:rPr>
          <w:rFonts w:ascii="宋体" w:hAnsi="宋体"/>
          <w:color w:val="auto"/>
          <w:sz w:val="24"/>
          <w:highlight w:val="none"/>
        </w:rPr>
      </w:pPr>
      <w:r/>
      <w:bookmarkStart w:id="36" w:name="_Hlt26668969"/>
      <w:r/>
      <w:bookmarkEnd w:id="36"/>
      <w:r/>
      <w:bookmarkStart w:id="37" w:name="_Hlt26954830"/>
      <w:r/>
      <w:bookmarkEnd w:id="37"/>
      <w:r/>
      <w:bookmarkStart w:id="38" w:name="_Hlt26954832"/>
      <w:r/>
      <w:bookmarkEnd w:id="38"/>
      <w:r/>
      <w:bookmarkStart w:id="39" w:name="_Hlt26670348"/>
      <w:r/>
      <w:bookmarkEnd w:id="39"/>
      <w:r/>
      <w:bookmarkStart w:id="40" w:name="_Hlt26670345"/>
      <w:r/>
      <w:bookmarkEnd w:id="40"/>
      <w:r/>
      <w:bookmarkStart w:id="41" w:name="_Hlt26670354"/>
      <w:r/>
      <w:bookmarkEnd w:id="41"/>
      <w:r/>
      <w:bookmarkStart w:id="42" w:name="_Hlt26954828"/>
      <w:r/>
      <w:bookmarkEnd w:id="42"/>
      <w:r/>
      <w:bookmarkStart w:id="43" w:name="_Toc513029213"/>
      <w:r/>
      <w:bookmarkStart w:id="44" w:name="_Toc462564072"/>
      <w:r/>
      <w:bookmarkStart w:id="45" w:name="_Toc14577351"/>
      <w:r/>
      <w:bookmarkStart w:id="46" w:name="_Toc61149553"/>
      <w:r>
        <w:rPr>
          <w:rFonts w:hint="eastAsia" w:ascii="宋体" w:hAnsi="宋体"/>
          <w:color w:val="auto"/>
          <w:sz w:val="24"/>
          <w:highlight w:val="none"/>
        </w:rPr>
        <w:t xml:space="preserve">6.磋商文件的解释</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磋商文件需求部分（供应商资格要求、项目需求、商务技术评分标准）由采购人解释，其他部分由采购代理机构解释。</w:t>
      </w:r>
      <w:r/>
    </w:p>
    <w:p>
      <w:pPr>
        <w:ind w:firstLine="480"/>
        <w:spacing w:line="360" w:lineRule="auto"/>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二、磋商响应文件的编制</w:t>
      </w:r>
      <w:bookmarkEnd w:id="43"/>
      <w:r/>
      <w:bookmarkEnd w:id="44"/>
      <w:r/>
      <w:bookmarkEnd w:id="45"/>
      <w:r/>
      <w:bookmarkEnd w:id="46"/>
      <w:r/>
      <w:r/>
    </w:p>
    <w:p>
      <w:pPr>
        <w:ind w:firstLine="480"/>
        <w:spacing w:line="360" w:lineRule="auto"/>
        <w:tabs>
          <w:tab w:val="left" w:pos="900" w:leader="none"/>
        </w:tabs>
        <w:rPr>
          <w:rFonts w:ascii="宋体" w:hAnsi="宋体"/>
          <w:color w:val="auto"/>
          <w:sz w:val="24"/>
          <w:highlight w:val="none"/>
        </w:rPr>
      </w:pPr>
      <w:r/>
      <w:bookmarkStart w:id="47" w:name="_Hlt26670357"/>
      <w:r/>
      <w:bookmarkEnd w:id="47"/>
      <w:r/>
      <w:bookmarkStart w:id="48" w:name="_Hlt26954836"/>
      <w:r/>
      <w:bookmarkEnd w:id="48"/>
      <w:r/>
      <w:bookmarkStart w:id="49" w:name="_Toc20823282"/>
      <w:r/>
      <w:bookmarkStart w:id="50" w:name="_Toc16938526"/>
      <w:r/>
      <w:bookmarkStart w:id="51" w:name="_Toc513029210"/>
      <w:r/>
      <w:bookmarkStart w:id="52" w:name="_Toc513029237"/>
      <w:r/>
      <w:bookmarkStart w:id="53" w:name="_Toc16938553"/>
      <w:r/>
      <w:bookmarkStart w:id="54" w:name="_Toc20823309"/>
      <w:r>
        <w:rPr>
          <w:rFonts w:hint="eastAsia" w:ascii="宋体" w:hAnsi="宋体"/>
          <w:color w:val="auto"/>
          <w:sz w:val="24"/>
          <w:highlight w:val="none"/>
        </w:rPr>
        <w:t xml:space="preserve">1.磋商文件的构成</w:t>
      </w:r>
      <w:bookmarkEnd w:id="49"/>
      <w:r/>
      <w:bookmarkEnd w:id="50"/>
      <w:r/>
      <w:bookmarkEnd w:id="51"/>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 磋商文件由以下部分组成：</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（1）竞争性磋商公告</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（3）合同条款及格式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（5）评审方法和评审标准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（6）响应文件组成和格式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请仔细检查磋商文件是否齐全，如有缺漏请立即与采购人或采购代理机构联系解决。</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tabs>
          <w:tab w:val="left" w:pos="900" w:leader="none"/>
        </w:tabs>
        <w:rPr>
          <w:rFonts w:ascii="宋体" w:hAnsi="宋体"/>
          <w:color w:val="auto"/>
          <w:sz w:val="24"/>
          <w:highlight w:val="none"/>
        </w:rPr>
      </w:pPr>
      <w:r/>
      <w:bookmarkStart w:id="55" w:name="_Toc16938527"/>
      <w:r/>
      <w:bookmarkStart w:id="56" w:name="_Toc513029211"/>
      <w:r/>
      <w:bookmarkStart w:id="57" w:name="_Toc20823283"/>
      <w:r/>
      <w:bookmarkStart w:id="58" w:name="_Toc462564070"/>
      <w:r>
        <w:rPr>
          <w:rFonts w:hint="eastAsia" w:ascii="宋体" w:hAnsi="宋体"/>
          <w:color w:val="auto"/>
          <w:sz w:val="24"/>
          <w:highlight w:val="none"/>
        </w:rPr>
        <w:t xml:space="preserve">2.磋商文件的澄清</w:t>
      </w:r>
      <w:bookmarkEnd w:id="55"/>
      <w:r/>
      <w:bookmarkEnd w:id="56"/>
      <w:r/>
      <w:bookmarkEnd w:id="57"/>
      <w:r/>
      <w:bookmarkEnd w:id="58"/>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ascii="宋体" w:hAnsi="宋体"/>
          <w:color w:val="auto"/>
          <w:sz w:val="24"/>
          <w:highlight w:val="none"/>
        </w:rPr>
      </w:pPr>
      <w:r/>
      <w:bookmarkStart w:id="59" w:name="_Toc513029212"/>
      <w:r/>
      <w:bookmarkStart w:id="60" w:name="_Toc462564071"/>
      <w:r/>
      <w:bookmarkStart w:id="61" w:name="_Toc20823284"/>
      <w:r/>
      <w:bookmarkStart w:id="62" w:name="_Toc16938528"/>
      <w:r>
        <w:rPr>
          <w:rFonts w:hint="eastAsia" w:ascii="宋体" w:hAnsi="宋体"/>
          <w:color w:val="auto"/>
          <w:sz w:val="24"/>
          <w:highlight w:val="none"/>
        </w:rPr>
        <w:t xml:space="preserve">3.磋商文件的修改</w:t>
      </w:r>
      <w:bookmarkEnd w:id="59"/>
      <w:r/>
      <w:bookmarkEnd w:id="60"/>
      <w:r/>
      <w:bookmarkEnd w:id="61"/>
      <w:r/>
      <w:bookmarkEnd w:id="62"/>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3.1在响应文件提交截止时间前，采购人或采购代理机构可以对磋商文件进行修改</w:t>
      </w:r>
      <w:r>
        <w:rPr>
          <w:rFonts w:hint="eastAsia" w:ascii="宋体" w:hAnsi="宋体"/>
          <w:color w:val="auto"/>
          <w:sz w:val="24"/>
          <w:highlight w:val="none"/>
          <w:lang w:val="zh-CN"/>
        </w:rPr>
        <w:t xml:space="preserve">， 澄清或者修改的</w:t>
      </w:r>
      <w:r>
        <w:rPr>
          <w:rFonts w:hint="eastAsia" w:ascii="宋体" w:hAnsi="宋体"/>
          <w:color w:val="auto"/>
          <w:sz w:val="24"/>
          <w:highlight w:val="none"/>
        </w:rPr>
        <w:t xml:space="preserve">内容</w:t>
      </w:r>
      <w:r>
        <w:rPr>
          <w:rFonts w:hint="eastAsia" w:ascii="宋体" w:hAnsi="宋体"/>
          <w:color w:val="auto"/>
          <w:sz w:val="24"/>
          <w:highlight w:val="none"/>
          <w:lang w:val="zh-CN"/>
        </w:rPr>
        <w:t xml:space="preserve">作为磋商文件的组成部分。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3.2采购人或采购代理机构有权按照法定的要求推迟响应文件提交截止日期和磋商日期。</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3.3磋商文件的修改将在江苏政府采购网公布，补充文件将作为磋商文件的组成部分，并对供应商具有约束力。</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tabs>
          <w:tab w:val="left" w:pos="900" w:leader="none"/>
        </w:tabs>
        <w:rPr>
          <w:rFonts w:ascii="宋体" w:hAnsi="宋体"/>
          <w:color w:val="auto"/>
          <w:sz w:val="24"/>
          <w:highlight w:val="none"/>
        </w:rPr>
      </w:pPr>
      <w:r/>
      <w:bookmarkStart w:id="63" w:name="_Toc120614216"/>
      <w:r/>
      <w:bookmarkStart w:id="64" w:name="_Toc20823285"/>
      <w:r/>
      <w:bookmarkStart w:id="65" w:name="_Toc16938529"/>
      <w:r>
        <w:rPr>
          <w:rFonts w:hint="eastAsia" w:ascii="宋体" w:hAnsi="宋体"/>
          <w:color w:val="auto"/>
          <w:sz w:val="24"/>
          <w:highlight w:val="none"/>
        </w:rPr>
        <w:t xml:space="preserve">三、响应文件的编制</w:t>
      </w:r>
      <w:bookmarkEnd w:id="63"/>
      <w:r/>
      <w:bookmarkEnd w:id="64"/>
      <w:r/>
      <w:bookmarkEnd w:id="65"/>
      <w:r/>
      <w:r/>
    </w:p>
    <w:p>
      <w:pPr>
        <w:ind w:firstLine="480"/>
        <w:spacing w:line="360" w:lineRule="auto"/>
        <w:tabs>
          <w:tab w:val="left" w:pos="900" w:leader="none"/>
        </w:tabs>
        <w:rPr>
          <w:rFonts w:ascii="宋体" w:hAnsi="宋体"/>
          <w:color w:val="auto"/>
          <w:sz w:val="24"/>
          <w:highlight w:val="none"/>
        </w:rPr>
      </w:pPr>
      <w:r/>
      <w:bookmarkStart w:id="66" w:name="_Toc20823286"/>
      <w:r/>
      <w:bookmarkStart w:id="67" w:name="_Toc462564073"/>
      <w:r/>
      <w:bookmarkStart w:id="68" w:name="_Toc16938530"/>
      <w:r/>
      <w:bookmarkStart w:id="69" w:name="_Toc513029214"/>
      <w:r>
        <w:rPr>
          <w:rFonts w:hint="eastAsia" w:ascii="宋体" w:hAnsi="宋体"/>
          <w:color w:val="auto"/>
          <w:sz w:val="24"/>
          <w:highlight w:val="none"/>
        </w:rPr>
        <w:t xml:space="preserve">1.响应文件的语言及度量衡单位</w:t>
      </w:r>
      <w:bookmarkEnd w:id="66"/>
      <w:r/>
      <w:bookmarkEnd w:id="67"/>
      <w:r/>
      <w:bookmarkEnd w:id="68"/>
      <w:r/>
      <w:bookmarkEnd w:id="69"/>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1.1供应商提交的响应文件以及供应商与采购人或采购代理机构就有关磋商的所有来往通知、函件和文件均应使用简体中文。磋商文件中既有中文也有外文的，以中文意义为准。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1.2除技术性能另有规定外，响应文件所使用的度量衡单位，均须采用国家法定计量单位。</w:t>
      </w:r>
      <w:r/>
    </w:p>
    <w:p>
      <w:pPr>
        <w:ind w:firstLine="480"/>
        <w:spacing w:line="360" w:lineRule="auto"/>
        <w:tabs>
          <w:tab w:val="left" w:pos="900" w:leader="none"/>
        </w:tabs>
        <w:rPr>
          <w:rFonts w:ascii="宋体" w:hAnsi="宋体"/>
          <w:color w:val="auto"/>
          <w:sz w:val="24"/>
          <w:highlight w:val="none"/>
        </w:rPr>
      </w:pPr>
      <w:r/>
      <w:bookmarkStart w:id="70" w:name="_Toc20823287"/>
      <w:r/>
      <w:bookmarkStart w:id="71" w:name="_Toc462564074"/>
      <w:r/>
      <w:bookmarkStart w:id="72" w:name="_Toc16938531"/>
      <w:r/>
      <w:bookmarkStart w:id="73" w:name="_Toc513029215"/>
      <w:r>
        <w:rPr>
          <w:rFonts w:hint="eastAsia" w:ascii="宋体" w:hAnsi="宋体"/>
          <w:color w:val="auto"/>
          <w:sz w:val="24"/>
          <w:highlight w:val="none"/>
        </w:rPr>
        <w:t xml:space="preserve">2.响应文件构成</w:t>
      </w:r>
      <w:bookmarkEnd w:id="70"/>
      <w:r/>
      <w:bookmarkEnd w:id="71"/>
      <w:r/>
      <w:bookmarkEnd w:id="72"/>
      <w:r/>
      <w:bookmarkEnd w:id="73"/>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2.1供应商编写的响应文件应包括资格审查文件、商务技术响应文件、报价响应文件。供应商按第六章响应文件的组成和格式要求编写响应文件。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3.磋商响应报价</w:t>
      </w:r>
      <w:bookmarkStart w:id="74" w:name="_Hlt26670373"/>
      <w:r/>
      <w:bookmarkEnd w:id="74"/>
      <w:r>
        <w:rPr>
          <w:rFonts w:hint="eastAsia" w:ascii="宋体" w:hAnsi="宋体"/>
          <w:color w:val="auto"/>
          <w:sz w:val="24"/>
          <w:highlight w:val="none"/>
        </w:rPr>
        <w:t xml:space="preserve">表</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3.1磋商供应商应按照磋商文件规定格式填报磋商响应报价。每项产品或服务只允许有一个报价，任何有选择的报价将不予接受，磋商文件中另有规定的按规定执行。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3.2标的物</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详见项目需求。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3.3有关费用的处理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报价应包含与本次采购项目有关的所有费用。包含但不限于人员、设备、调试、验收、配套服务等所有含税费用。同时，还应包含支付给员工的工资和国家强制缴纳的各种社会保障资金，以及供应商认为需要的其他费用等。</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供应商须响应文件中的所有服务，且响应的服务只能有一个报价，报价应包括为实施委托项目约定范围内所需的全部费用。</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磋商文件未列明，而磋商供应商认为必需的费用也须列入报价。</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3.4 报价采用的货币</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3.5 磋商响应报价表上的价格应按磋商文件规定填写。</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4.磋商保证金：无</w:t>
      </w:r>
      <w:r/>
    </w:p>
    <w:p>
      <w:pPr>
        <w:ind w:firstLine="480"/>
        <w:spacing w:line="360" w:lineRule="auto"/>
        <w:tabs>
          <w:tab w:val="left" w:pos="900" w:leader="none"/>
        </w:tabs>
        <w:rPr>
          <w:rFonts w:ascii="宋体" w:hAnsi="宋体"/>
          <w:color w:val="auto"/>
          <w:sz w:val="24"/>
          <w:highlight w:val="none"/>
        </w:rPr>
      </w:pPr>
      <w:r/>
      <w:bookmarkStart w:id="75" w:name="_Hlt26668975"/>
      <w:r/>
      <w:bookmarkEnd w:id="75"/>
      <w:r/>
      <w:bookmarkStart w:id="76" w:name="_Hlt26954838"/>
      <w:r/>
      <w:bookmarkEnd w:id="76"/>
      <w:r/>
      <w:bookmarkStart w:id="77" w:name="_Hlt26670360"/>
      <w:r/>
      <w:bookmarkEnd w:id="77"/>
      <w:r/>
      <w:bookmarkStart w:id="78" w:name="_Toc49090511"/>
      <w:r/>
      <w:bookmarkStart w:id="79" w:name="_Toc14577360"/>
      <w:r>
        <w:rPr>
          <w:rFonts w:hint="eastAsia" w:ascii="宋体" w:hAnsi="宋体"/>
          <w:color w:val="auto"/>
          <w:sz w:val="24"/>
          <w:highlight w:val="none"/>
        </w:rPr>
        <w:t xml:space="preserve">5.</w:t>
      </w:r>
      <w:bookmarkEnd w:id="78"/>
      <w:r/>
      <w:bookmarkEnd w:id="79"/>
      <w:r>
        <w:rPr>
          <w:rFonts w:hint="eastAsia" w:ascii="宋体" w:hAnsi="宋体"/>
          <w:color w:val="auto"/>
          <w:sz w:val="24"/>
          <w:highlight w:val="none"/>
        </w:rPr>
        <w:t xml:space="preserve">磋商响应有效期</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5.1磋商响应有效期为采购文件规定的响应文件提交截止时间后九十（90）天。磋商响应有效期比规定短的将被视为非实质性响应而予以拒绝。</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 磋商响应有效期的延长</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tabs>
          <w:tab w:val="left" w:pos="900" w:leader="none"/>
        </w:tabs>
        <w:rPr>
          <w:rFonts w:ascii="宋体" w:hAnsi="宋体"/>
          <w:color w:val="auto"/>
          <w:sz w:val="24"/>
          <w:highlight w:val="none"/>
        </w:rPr>
      </w:pPr>
      <w:r/>
      <w:bookmarkStart w:id="80" w:name="_Hlt26954739"/>
      <w:r/>
      <w:bookmarkEnd w:id="80"/>
      <w:r/>
      <w:bookmarkStart w:id="81" w:name="_Hlt26954852"/>
      <w:r/>
      <w:bookmarkEnd w:id="81"/>
      <w:r/>
      <w:bookmarkStart w:id="82" w:name="_Toc20823296"/>
      <w:r/>
      <w:bookmarkStart w:id="83" w:name="_Toc120614217"/>
      <w:r/>
      <w:bookmarkStart w:id="84" w:name="_Toc513029224"/>
      <w:r/>
      <w:bookmarkStart w:id="85" w:name="_Toc16938540"/>
      <w:r>
        <w:rPr>
          <w:rFonts w:hint="eastAsia" w:ascii="宋体" w:hAnsi="宋体"/>
          <w:color w:val="auto"/>
          <w:sz w:val="24"/>
          <w:highlight w:val="none"/>
        </w:rPr>
        <w:t xml:space="preserve">7.电子响应文件其他要求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7.1电子招标投标交易平台（即“苏采云”系统）相关要求是本采购文件的组成部分。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7.2供应商应对CA证书妥善保管，如被他人盗用投标，因此带来的后果均由供应商自行承担。</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7.3供应商应当对采购文件提出的实质性要求和条件作出实质性响应，并在电子投标系统逐条应答。</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7.4供应商应按要求提供的资格证明文件（如资质证书、资格证书）、技术资料（如白皮书、彩页、手册、检测报告等）扫描上传至投标系统。 </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8.供应商应当在采购文件要求提交响应文件的截止时间前，将响应文件提交至“苏采云”系统，逾期提交的响应文件，“苏采云”系统将自动拒收。各供应商应在规定时间内凭CA证书进行网上解密。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四、响应文件的提交</w:t>
      </w:r>
      <w:bookmarkEnd w:id="82"/>
      <w:r/>
      <w:bookmarkEnd w:id="83"/>
      <w:r/>
      <w:bookmarkEnd w:id="84"/>
      <w:r/>
      <w:bookmarkEnd w:id="85"/>
      <w:r/>
      <w:r/>
    </w:p>
    <w:p>
      <w:pPr>
        <w:ind w:firstLine="480"/>
        <w:spacing w:line="360" w:lineRule="auto"/>
        <w:tabs>
          <w:tab w:val="left" w:pos="900" w:leader="none"/>
        </w:tabs>
        <w:rPr>
          <w:rFonts w:ascii="宋体" w:hAnsi="宋体"/>
          <w:color w:val="auto"/>
          <w:sz w:val="24"/>
          <w:highlight w:val="none"/>
        </w:rPr>
      </w:pPr>
      <w:r/>
      <w:bookmarkStart w:id="86" w:name="_Toc20823297"/>
      <w:r/>
      <w:bookmarkStart w:id="87" w:name="_Toc513029225"/>
      <w:r/>
      <w:bookmarkStart w:id="88" w:name="_Toc462564084"/>
      <w:r/>
      <w:bookmarkStart w:id="89" w:name="_Toc16938541"/>
      <w:r/>
      <w:bookmarkStart w:id="90" w:name="_Toc120614218"/>
      <w:r/>
      <w:bookmarkStart w:id="91" w:name="_Toc16938545"/>
      <w:r/>
      <w:bookmarkStart w:id="92" w:name="_Toc513029229"/>
      <w:r/>
      <w:bookmarkStart w:id="93" w:name="_Toc20823301"/>
      <w:r>
        <w:rPr>
          <w:rFonts w:hint="eastAsia" w:ascii="宋体" w:hAnsi="宋体"/>
          <w:color w:val="auto"/>
          <w:sz w:val="24"/>
          <w:highlight w:val="none"/>
        </w:rPr>
        <w:t xml:space="preserve">1.响应文件</w:t>
      </w:r>
      <w:bookmarkEnd w:id="86"/>
      <w:r/>
      <w:bookmarkEnd w:id="87"/>
      <w:r/>
      <w:bookmarkEnd w:id="88"/>
      <w:r/>
      <w:bookmarkEnd w:id="89"/>
      <w:r>
        <w:rPr>
          <w:rFonts w:hint="eastAsia" w:ascii="宋体" w:hAnsi="宋体"/>
          <w:color w:val="auto"/>
          <w:sz w:val="24"/>
          <w:highlight w:val="none"/>
        </w:rPr>
        <w:t xml:space="preserve">的提交</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线上提交与接收地点：供应商应当通过“苏采云”系统提交数据电文形式的响应文件（即电子投标），“苏采云”系统自动接收。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2.提交响应文件截止日期</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2.1供应商上传电子响应文件的时间不得迟于竞争性磋商公告中规定的响应文件提交截止时间。</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供应商应充分考虑网络环境、网络带宽等风险因素，如因供应商自身原因造成的电子响应文件上传不成功由供应商自行承担全部责任。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3.响应文件的密封（加密）要求：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3.2供应商须通过“苏采云”系统提供的政府采购客户端工具（使用“CA数字证书”）加盖电子签章。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说明：供应商应使用CA数字证书以及自备的能够登录“苏采云”系统的电脑，在达到开标时间后，使用CA数字证书解密各自响应文件。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3.3供应商未按规定加密的响应文件，“苏采云”系统将拒收并提示。</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4.响应文件的拒收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“苏采云”系统拒绝接收在规定的响应文件提交截止时间后上传的任何响应文件。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 响应文件的撤回和修改</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 响应文件的撤回</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5.1.1电子响应文件的撤回</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供应商可在响应文件提交截止时间前，撤回其电子响应文件，具体操作方法见“苏采云”系统供应商操作手册。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5.1.2供应商撤回电子响应文件，则视为其不再参与本项目竞争性磋商活动。</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5.2响应文件的修改</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供应商可在响应文件提交截止时间前，对其电子响应文件进行修改。具体操作方法见“苏采云”系统供应商操作手册。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5.3在响应文件提交截止时间之后，供应商不得对其电子响应文件做任何修改。</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5.4在响应文件提交截止时间至磋商文件中规定的磋商响应有效期满之间的这段时间内，供应商不得撤回其响应文件。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五</w:t>
      </w:r>
      <w:bookmarkEnd w:id="90"/>
      <w:r/>
      <w:bookmarkEnd w:id="91"/>
      <w:r/>
      <w:bookmarkEnd w:id="92"/>
      <w:r/>
      <w:bookmarkEnd w:id="93"/>
      <w:r/>
      <w:bookmarkStart w:id="94" w:name="_Toc20823302"/>
      <w:r/>
      <w:bookmarkStart w:id="95" w:name="_Toc513029230"/>
      <w:r/>
      <w:bookmarkStart w:id="96" w:name="_Toc16938546"/>
      <w:r>
        <w:rPr>
          <w:rFonts w:hint="eastAsia" w:ascii="宋体" w:hAnsi="宋体"/>
          <w:color w:val="auto"/>
          <w:sz w:val="24"/>
          <w:highlight w:val="none"/>
        </w:rPr>
        <w:t xml:space="preserve">、磋商与评审</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1.磋商仪式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1.1采购人或采购代理机构将在磋商公告中规定的时间和地点组织磋商开标仪式。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开标当天</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各供应商及时登录不见面开标大厅，响应文件提交截止时间后，采购代理机构将在系统</w:t>
      </w:r>
      <w:r>
        <w:rPr>
          <w:rFonts w:hint="eastAsia" w:ascii="宋体" w:hAnsi="宋体"/>
          <w:color w:val="auto"/>
          <w:sz w:val="24"/>
          <w:highlight w:val="none"/>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1.2磋商活动的文件解密工作由采购代理机构组织。</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注：各供应商请关注开标大厅交流区，在开标结束后，请勿离开开标大厅</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采购人或采购代理机构通知最后报价填报后，所有的响应供应商须在规定时间内填写并提交最后报价，未在规定时间内提交最后报价的，视作无效响应处理。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2.磋商小组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2.1磋商开始仪式结束后，采购人或采购代理机构将立即组织磋商小组进行评审。</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2.4磋商小组独立工作，负责评审所有响应文件并确定成交候选人。</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3.磋商评审过程的保密与公正</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3.2在磋商评审过程中，磋商供应商不得以任何行为影响磋商评审过程，否则其响应文件将被作为无效响应文件。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3.5在评审期间，采购人或采购代理机构将设专门人员与供应商联系。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4.评审过程中的澄清</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4.1</w:t>
      </w:r>
      <w:r>
        <w:rPr>
          <w:rFonts w:hint="eastAsia" w:ascii="宋体" w:hAnsi="宋体"/>
          <w:color w:val="auto"/>
          <w:sz w:val="24"/>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4.2</w:t>
      </w:r>
      <w:r>
        <w:rPr>
          <w:rFonts w:hint="eastAsia" w:ascii="宋体" w:hAnsi="宋体"/>
          <w:color w:val="auto"/>
          <w:sz w:val="24"/>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4.3接到磋商小组</w:t>
      </w:r>
      <w:r>
        <w:rPr>
          <w:rFonts w:hint="eastAsia" w:ascii="宋体" w:hAnsi="宋体"/>
          <w:color w:val="auto"/>
          <w:sz w:val="24"/>
          <w:highlight w:val="none"/>
          <w:lang w:val="zh-CN"/>
        </w:rPr>
        <w:t xml:space="preserve">澄清、说明或更正</w:t>
      </w:r>
      <w:r>
        <w:rPr>
          <w:rFonts w:hint="eastAsia" w:ascii="宋体" w:hAnsi="宋体"/>
          <w:color w:val="auto"/>
          <w:sz w:val="24"/>
          <w:highlight w:val="none"/>
        </w:rPr>
        <w:t xml:space="preserve">要求的供应商应按磋商小组规定的时间和格式作出</w:t>
      </w:r>
      <w:r>
        <w:rPr>
          <w:rFonts w:hint="eastAsia" w:ascii="宋体" w:hAnsi="宋体"/>
          <w:color w:val="auto"/>
          <w:sz w:val="24"/>
          <w:highlight w:val="none"/>
          <w:lang w:val="zh-CN"/>
        </w:rPr>
        <w:t xml:space="preserve">澄清、说明或更正</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澄清、说明或更正</w:t>
      </w:r>
      <w:r>
        <w:rPr>
          <w:rFonts w:hint="eastAsia" w:ascii="宋体" w:hAnsi="宋体"/>
          <w:color w:val="auto"/>
          <w:sz w:val="24"/>
          <w:highlight w:val="none"/>
        </w:rPr>
        <w:t xml:space="preserve">的内容作为响应文件的补充部分，但实质性的内容不得作任何更改。</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lang w:val="zh-CN"/>
        </w:rPr>
        <w:t xml:space="preserve">4.4接到磋商小组澄清、说明或更正要求的供应商如未按规定作出澄清、说明或更正的，其风险由供应商自行承担。</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5.对响应文件的审查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5.1响应文件初审分为资格性审查和符合性审查。</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5.1.1资格性检查：</w:t>
      </w:r>
      <w:r>
        <w:rPr>
          <w:rFonts w:hint="eastAsia" w:ascii="宋体" w:hAnsi="宋体"/>
          <w:color w:val="auto"/>
          <w:sz w:val="24"/>
          <w:highlight w:val="none"/>
          <w:lang w:val="zh-CN"/>
        </w:rPr>
        <w:t xml:space="preserve">依据法律法规和磋商文件的规定，由</w:t>
      </w:r>
      <w:r>
        <w:rPr>
          <w:rFonts w:hint="eastAsia" w:ascii="宋体" w:hAnsi="宋体"/>
          <w:color w:val="auto"/>
          <w:sz w:val="24"/>
          <w:highlight w:val="none"/>
          <w:lang w:val="en-US" w:eastAsia="zh-CN"/>
        </w:rPr>
        <w:t xml:space="preserve">评标委员会</w:t>
      </w:r>
      <w:r>
        <w:rPr>
          <w:rFonts w:hint="eastAsia" w:ascii="宋体" w:hAnsi="宋体"/>
          <w:color w:val="auto"/>
          <w:sz w:val="24"/>
          <w:highlight w:val="none"/>
          <w:lang w:val="zh-CN"/>
        </w:rPr>
        <w:t xml:space="preserve">对响应文件中的资格审查文件进行审查。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lang w:val="en-US" w:eastAsia="zh-CN"/>
        </w:rPr>
        <w:t xml:space="preserve">评标委员会</w:t>
      </w:r>
      <w:r>
        <w:rPr>
          <w:rFonts w:hint="eastAsia" w:ascii="宋体" w:hAnsi="宋体"/>
          <w:color w:val="auto"/>
          <w:sz w:val="24"/>
          <w:highlight w:val="none"/>
        </w:rPr>
        <w:t xml:space="preserve">在进行资格审查的同时，将在“信用中国”网站查询供应商的信用记录，以确定供应商是否具备磋商资格。</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5.1.3未通过资格审查或符合性审查的供应商，</w:t>
      </w:r>
      <w:r>
        <w:rPr>
          <w:rFonts w:hint="eastAsia" w:ascii="宋体" w:hAnsi="宋体"/>
          <w:color w:val="auto"/>
          <w:sz w:val="24"/>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5.2</w:t>
      </w:r>
      <w:r>
        <w:rPr>
          <w:rFonts w:hint="eastAsia" w:ascii="宋体" w:hAnsi="宋体"/>
          <w:color w:val="auto"/>
          <w:sz w:val="24"/>
          <w:highlight w:val="none"/>
          <w:lang w:val="zh-CN"/>
        </w:rPr>
        <w:t xml:space="preserve">在正式磋商之前</w:t>
      </w:r>
      <w:r>
        <w:rPr>
          <w:rFonts w:hint="eastAsia" w:ascii="宋体" w:hAnsi="宋体"/>
          <w:color w:val="auto"/>
          <w:sz w:val="24"/>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所谓重大负偏离或保留是指与磋商文件规定的实质性要求存在负偏离，或者在实质上与磋商文件不一致，并且限制了合同中买方和见证方的权利或供应商的义务</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5.4磋商小组将对确定为实质性响应的文件进行进一步审核，看其是否有计算上或累加上的算术错误，修正错误的原则如下：</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（1）响应文件中报价总表内容与响应文件中相应内容不一致的，以报价总表为准。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（3）单价金额小数点或者百分比有明显错位的，以报价总表的总价为准，并修改单价。</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同时出现两种以上错误的，按照前款规定的顺序修正。</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5.7供应商在评审全过程中应保持通讯畅通，并安排专人与采购人或采购代理机构及磋商小组联系。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 响应文件线上格式要求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6.1供应商应当通过“苏采云”系统提交数据电文形式的响应文件（即电子投标</w:t>
      </w:r>
      <w:r>
        <w:rPr>
          <w:rFonts w:hint="eastAsia" w:ascii="宋体" w:hAnsi="宋体"/>
          <w:color w:val="auto"/>
          <w:sz w:val="24"/>
          <w:highlight w:val="none"/>
          <w:lang w:val="en-US" w:eastAsia="zh-CN"/>
        </w:rPr>
        <w:t xml:space="preserve">文件</w:t>
      </w:r>
      <w:r>
        <w:rPr>
          <w:rFonts w:hint="eastAsia"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6.2通过“苏采云”系统提交政府采购客户端工具导出加密的响应文件（后缀名为zip）。</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6.3本项目采用线上投标，即供应商响应文件从政府采购客户端工具制作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通过“苏采云”系统提交，未提供线上响应文件的，投标无效。</w:t>
      </w:r>
      <w:bookmarkEnd w:id="94"/>
      <w:r/>
      <w:bookmarkEnd w:id="95"/>
      <w:r/>
      <w:bookmarkEnd w:id="96"/>
      <w:r/>
      <w:bookmarkStart w:id="97" w:name="_Toc120614219"/>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 被认定为未实质性响应磋商文件的情形：</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7.1出现下列情形之一的，作无效响应处理，并视情况报监管部门调查其相互串通投标嫌疑；</w:t>
      </w:r>
      <w:r>
        <w:rPr>
          <w:rFonts w:hint="eastAsia" w:ascii="宋体" w:hAnsi="宋体"/>
          <w:color w:val="auto"/>
          <w:sz w:val="24"/>
          <w:highlight w:val="none"/>
        </w:rPr>
        <w:tab/>
      </w:r>
      <w:r>
        <w:rPr>
          <w:rFonts w:hint="eastAsia" w:ascii="宋体" w:hAnsi="宋体"/>
          <w:color w:val="auto"/>
          <w:sz w:val="24"/>
          <w:highlight w:val="none"/>
        </w:rPr>
        <w:tab/>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7.1.1供应商在规定的时间内未在苏采云系统内成功提交磋商响应文件的；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bCs/>
          <w:color w:val="auto"/>
          <w:sz w:val="24"/>
          <w:szCs w:val="21"/>
          <w:highlight w:val="none"/>
        </w:rPr>
        <w:t xml:space="preserve">供应商未按照磋商文件要求上传电子响应文件的；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供应商不具备磋商文件中规定的资格要求的；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供应商在系统规定的时间内未成功解密电子响应文件的；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未完整上传响应文件电子文档的，或上传的文件打不开的；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小组认为供应商的报价明显低于其他通过符合性审查供应商的报价，有可能影响产品质量或者不能诚信履约的，应当要求其在规定时间内提供书面说明，必要时提交相关证明材料；供应商不能证明其报价合理性的，磋商小组应当将其作为无效响应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响应报价超过了采购预算或最高限价；</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未通过符合性检查的；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不符合法律法规和磋商文件中规定的其他实质性要求的；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供应商被“信用中国”网站（www.creditchina.gov.cn）列入失信被执行人、</w:t>
      </w:r>
      <w:r>
        <w:rPr>
          <w:rFonts w:hint="eastAsia" w:ascii="宋体" w:hAnsi="宋体" w:cs="宋体"/>
          <w:color w:val="auto"/>
          <w:sz w:val="24"/>
          <w:highlight w:val="none"/>
        </w:rPr>
        <w:t xml:space="preserve">重大税收违法案件当事人名单</w:t>
      </w:r>
      <w:r>
        <w:rPr>
          <w:rFonts w:hint="eastAsia" w:ascii="宋体" w:hAnsi="宋体"/>
          <w:color w:val="auto"/>
          <w:sz w:val="24"/>
          <w:highlight w:val="none"/>
        </w:rPr>
        <w:t xml:space="preserve">或政府采购严重违法失信行为记录名单，或查询“信用中国”网站后发现供应商存在其他不符合《中华人民共和国政府采购法》第二十二条规定条件的信用记录；</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响应文件含有采购人不能接受的附加条件的；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响应文件未按照磋商文件要求加盖电子签章或签署；</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供应商</w:t>
      </w:r>
      <w:r>
        <w:rPr>
          <w:rFonts w:hint="eastAsia" w:ascii="宋体" w:hAnsi="宋体" w:cs="宋体"/>
          <w:color w:val="auto"/>
          <w:sz w:val="24"/>
          <w:highlight w:val="none"/>
        </w:rPr>
        <w:t xml:space="preserve">未在规定时间内提交最后报价的</w:t>
      </w:r>
      <w:r>
        <w:rPr>
          <w:rFonts w:hint="eastAsia"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不同供应商的响应文件由同一单位或者个人编制的；不同供应商的磋商响应文件相互混传；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不同供应商委托同一单位或者个人办理磋商事宜；不同供应商的磋商响应文件错漏之处雷同；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不同供应商的响应文件载明的项目管理成员或者联系人员为同一人；</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7.1.1</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不同供应商的响应文件异常一致或者响应报价呈规律性差异。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w:t>
      </w:r>
      <w:r>
        <w:rPr>
          <w:rFonts w:hint="eastAsia" w:ascii="宋体" w:hAnsi="宋体"/>
          <w:color w:val="auto"/>
          <w:sz w:val="24"/>
          <w:highlight w:val="none"/>
          <w:lang w:val="en-US" w:eastAsia="zh-CN"/>
        </w:rPr>
        <w:t xml:space="preserve">19</w:t>
      </w:r>
      <w:r>
        <w:rPr>
          <w:rFonts w:hint="eastAsia" w:ascii="宋体" w:hAnsi="宋体"/>
          <w:color w:val="auto"/>
          <w:sz w:val="24"/>
          <w:highlight w:val="none"/>
        </w:rPr>
        <w:t xml:space="preserve">供应商之间相互约定，一致抬高或压低投标报价；</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供应商之间相互约定，在招标项目中轮流以高价位或低价位成交；</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不同供应商的技术服务方案（或施工组织设计方案）基本雷同的；不同供应商的磋商响应文件出现了评审委员会认为不应当雷同的情况；</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开标前已有举报，开标后发现各投标单位的报价情况与举报情况相吻合的；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磋商小组一致认定判为无效响应的；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7.1.2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不同的供应商响应文件制作机器码、文件创建标识码一致的；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其他法律法规及本磋商文件规定的属于无效响应的情形：</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7.2凡磋商响应文件有下列情形之一的，属于重大偏差，视同未能对采购文件作出实质性响应，作无效响应处理。 </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7.2.1法人授权委托书或投标函未加盖投标供应商公章（或电子印章）的；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7.2.2未按采购文件规定的格式填写，内容不全或关键字迹模糊、无法辨认的； </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7.2.4磋商响应文件载明的项目完成期限超过采购文件规定的期限；</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7.2.5明显不符合技术规范、技术标准的要求，或者对采购文件质量要求未明确响应的；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7.2.6投标报价低于成本；</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7.2.7磋商响应文件载明的货物包装方式、检验标准和方法等不符合采购文件的要求；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7.2.8组成联合体参加磋商活动的，磋商响应文件未附联合体各方共同投标协议的；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7.2.9在同一采购项目中，联合体成员以自己名义单独参加磋商或者参加其他联合体磋商活动的；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7.2.10未按采购文件要求提供磋商响应文件内容不全的；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7.2.11以他人的名义投标、串通投标、以行贿手段谋取中标或者以其他弄虚作假方式投标的；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7.3出现下列情形之一的，磋商失败。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7.3.2出现影响采购公正性的违法违规行为的；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7.3.3因重大变故，采购任务取消的。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7.3.4磋商小组认定磋商文件存在歧义、重大缺陷导致评审工作无法进行。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7.3.5因系统故障原因造成磋商无法继续进行的（适用于不见面磋商模式）。</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7.4 响应文件提交截止时间结束后参加磋商的供应商不足三家的处理：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7.4.1如出现响应文件提交截止时间结束后参加磋商的供应商或者在评审期间对磋商文件做出实质响应的供应商不足三家的情况，按政府采购相关规定执行。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六</w:t>
      </w:r>
      <w:bookmarkEnd w:id="97"/>
      <w:r>
        <w:rPr>
          <w:rFonts w:hint="eastAsia" w:ascii="宋体" w:hAnsi="宋体"/>
          <w:color w:val="auto"/>
          <w:sz w:val="24"/>
          <w:highlight w:val="none"/>
        </w:rPr>
        <w:t xml:space="preserve">、成交</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1.确定成交单位</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1.1成交候选供应商的选取原则和数量见磋商文件第四部分规定。</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1.2采购人授权磋商小组在成交候选供应商中直接确定成交供应商。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1.3采购代理机构将在“江苏政府采购网”发布成交结果公告，公告期限为1个工作日。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1.4若有充分证据证明，成交供应商出现下列情况之一的，一经查实，将被取消成交资格：</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1.4.1提供虚假材料谋取成交的。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1.4.2向采购人或采购代理机构行贿或者为评审专家提供其他不正当利益的。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1.4.3恶意竞争，最后报价明显低于其自身合理成本且又无法提供证明的。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1.4.4属于本文件规定的无效条件，但在评审过程中又未被磋商小组发现的。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1.4.5</w:t>
      </w:r>
      <w:r>
        <w:rPr>
          <w:rFonts w:hint="eastAsia" w:ascii="宋体" w:hAnsi="宋体"/>
          <w:color w:val="auto"/>
          <w:sz w:val="24"/>
          <w:highlight w:val="none"/>
          <w:lang w:val="zh-CN"/>
        </w:rPr>
        <w:t xml:space="preserve">与评审专家、采购人、</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供应商或者采购中心工作人员恶意串通的</w:t>
      </w:r>
      <w:r>
        <w:rPr>
          <w:rFonts w:hint="eastAsia"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1.4.6采取不正当手段诋毁、排挤其他供应商的。</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1.4.7</w:t>
      </w:r>
      <w:r>
        <w:rPr>
          <w:rFonts w:hint="eastAsia" w:ascii="宋体" w:hAnsi="宋体"/>
          <w:color w:val="auto"/>
          <w:sz w:val="24"/>
          <w:highlight w:val="none"/>
          <w:lang w:val="zh-CN"/>
        </w:rPr>
        <w:t xml:space="preserve">成交后无正当理由拒不与采购人签订政府采购合同或者未按照磋商文件确定的事项签订政府采购合同的。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1.4.8</w:t>
      </w:r>
      <w:r>
        <w:rPr>
          <w:rFonts w:hint="eastAsia" w:ascii="宋体" w:hAnsi="宋体"/>
          <w:color w:val="auto"/>
          <w:sz w:val="24"/>
          <w:highlight w:val="none"/>
          <w:lang w:val="zh-CN"/>
        </w:rPr>
        <w:t xml:space="preserve">将政府采购合同转包的。</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1.5.有下列情形之一的，视为供应商串通参与磋商，响应无效：</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1.5.1不同供应商的响应文件由同一单位或者个人编制；</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1.5.2不同供应商委托同一单位或者个人办理磋商事宜；</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1.5.3不同供应商的响应文件载明的项目管理成员或者联系人员为同一人；</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1.5.4不同供应商的响应文件异常一致或者响应报价呈规律性差异。</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2.质疑处理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2.1提出质疑的供应商应当是参与所质疑项目采购活动的供应商。潜在供应商依法获取其可质疑的磋商文件的，可以对磋商文件提出质疑。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2.2.1对可以质疑的磋商文件提出质疑的，为收到磋商文件之日或者磋商文件公告期限届满之日；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2.2.2对采购过程提出质疑的，为各采购程序环节结束之日；</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2.2.3对成交结果提出质疑的，为成交结果公告期限届满之日。</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供应商应当在法定质疑期内一次性提出针对同一采购程序环节的质疑。</w:t>
      </w:r>
      <w:r>
        <w:rPr>
          <w:rFonts w:hint="eastAsia" w:ascii="宋体" w:hAnsi="宋体"/>
          <w:color w:val="auto"/>
          <w:sz w:val="24"/>
          <w:highlight w:val="none"/>
          <w:lang w:val="zh-CN"/>
        </w:rPr>
        <w:t xml:space="preserve">供应商如在法定期限内对同一采购程序环节提出多次质疑的，采购人、</w:t>
      </w:r>
      <w:r>
        <w:rPr>
          <w:rFonts w:hint="eastAsia" w:ascii="宋体" w:hAnsi="宋体"/>
          <w:color w:val="auto"/>
          <w:sz w:val="24"/>
          <w:highlight w:val="none"/>
        </w:rPr>
        <w:t xml:space="preserve">采购代理机构</w:t>
      </w:r>
      <w:r>
        <w:rPr>
          <w:rFonts w:hint="eastAsia" w:ascii="宋体" w:hAnsi="宋体"/>
          <w:color w:val="auto"/>
          <w:sz w:val="24"/>
          <w:highlight w:val="none"/>
          <w:lang w:val="zh-CN"/>
        </w:rPr>
        <w:t xml:space="preserve">将只对供应商第一次质疑作出答复。</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2.4质疑答复依据《政府采购质疑和投诉办法》（财政部令第94号）。</w:t>
      </w:r>
      <w:r>
        <w:rPr>
          <w:rFonts w:hint="eastAsia" w:ascii="宋体" w:hAnsi="宋体" w:cs="宋体"/>
          <w:color w:val="auto"/>
          <w:sz w:val="24"/>
          <w:highlight w:val="none"/>
        </w:rPr>
        <w:t xml:space="preserve">采购人只接收以纸质原件形式送达的质疑，</w:t>
      </w:r>
      <w:r>
        <w:rPr>
          <w:rFonts w:hint="eastAsia" w:ascii="宋体" w:hAnsi="宋体"/>
          <w:color w:val="auto"/>
          <w:sz w:val="24"/>
          <w:highlight w:val="none"/>
        </w:rPr>
        <w:t xml:space="preserve">采购人或采购代理机构质疑接收人及联系方式，见磋商文件第一章。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 以下情形的质疑不予受理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2.5.1内容不符合《政府采购质疑和投诉办法》第十二条规定的质疑。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2.5.2超出政府采购法定期限的质疑。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2.5.3</w:t>
      </w:r>
      <w:r>
        <w:rPr>
          <w:rFonts w:hint="eastAsia" w:ascii="宋体" w:hAnsi="宋体" w:cs="宋体"/>
          <w:color w:val="auto"/>
          <w:sz w:val="24"/>
          <w:highlight w:val="none"/>
        </w:rPr>
        <w:t xml:space="preserve">以传真、电子邮件等方式递交的非原件形式的质疑。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2.5.4未参加磋商活动的供应商或在磋商活动中自身权益未受到损害的供应商所提出的质疑。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2.5.5供应商组成联合体参加磋商，联合体中任何一方或多方未按要求签字、盖章、加盖公章的质疑。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七、成交通知书</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八、授予合同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1.签订合同</w:t>
      </w:r>
      <w:r/>
    </w:p>
    <w:p>
      <w:pPr>
        <w:ind w:firstLine="477"/>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1.l成交供应商应当在成交通知书发出之日起三十日内，按照磋商文件确定的事项与采购人签订政府采购合同，否则由此给采购人造成损失的，成交供应商还应承担赔偿责任。</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1.2磋商文件、成交供应商的响应文件及磋商过程中有关澄清、承诺文件均应作为合同附件。</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rPr>
        <w:t xml:space="preserve">1.3签订合同后，成交供应商不得将合同标的进行转包。未经采购人同意，</w:t>
      </w:r>
      <w:r>
        <w:rPr>
          <w:rFonts w:hint="eastAsia" w:ascii="宋体" w:hAnsi="宋体"/>
          <w:color w:val="auto"/>
          <w:sz w:val="24"/>
          <w:highlight w:val="none"/>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tabs>
          <w:tab w:val="left" w:pos="900" w:leader="none"/>
        </w:tabs>
        <w:rPr>
          <w:rFonts w:ascii="宋体" w:hAnsi="宋体"/>
          <w:color w:val="auto"/>
          <w:sz w:val="24"/>
          <w:highlight w:val="none"/>
          <w:lang w:val="zh-CN"/>
        </w:rPr>
      </w:pPr>
      <w:r>
        <w:rPr>
          <w:rFonts w:hint="eastAsia" w:ascii="宋体" w:hAnsi="宋体"/>
          <w:color w:val="auto"/>
          <w:sz w:val="24"/>
          <w:highlight w:val="none"/>
          <w:lang w:val="zh-CN"/>
        </w:rPr>
        <w:t xml:space="preserve">2. 合同追加</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2.1采购人根据项目需要追加与合同标的相同的货物、工程或者服务的，须经采购人和成交供应商书面确认，在不改变合同其他条款的前提下，所有补充合同的采购金额不得超过原合同采购金额的10%，追加的货物或服务须另行签订补充合同。</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2.2</w:t>
      </w:r>
      <w:r>
        <w:rPr>
          <w:rFonts w:ascii="宋体" w:hAnsi="宋体"/>
          <w:color w:val="auto"/>
          <w:sz w:val="24"/>
          <w:highlight w:val="none"/>
        </w:rPr>
        <w:t xml:space="preserve">因重大决策变化，导致采购任务取消的。除退还</w:t>
      </w:r>
      <w:r>
        <w:rPr>
          <w:rFonts w:hint="eastAsia" w:ascii="宋体" w:hAnsi="宋体"/>
          <w:color w:val="auto"/>
          <w:sz w:val="24"/>
          <w:highlight w:val="none"/>
        </w:rPr>
        <w:t xml:space="preserve">成交供应商</w:t>
      </w:r>
      <w:r>
        <w:rPr>
          <w:rFonts w:ascii="宋体" w:hAnsi="宋体"/>
          <w:color w:val="auto"/>
          <w:sz w:val="24"/>
          <w:highlight w:val="none"/>
        </w:rPr>
        <w:t xml:space="preserve">实际已支付费用外，</w:t>
      </w:r>
      <w:r>
        <w:rPr>
          <w:rFonts w:hint="eastAsia" w:ascii="宋体" w:hAnsi="宋体"/>
          <w:color w:val="auto"/>
          <w:sz w:val="24"/>
          <w:highlight w:val="none"/>
        </w:rPr>
        <w:t xml:space="preserve">采购人</w:t>
      </w:r>
      <w:r>
        <w:rPr>
          <w:rFonts w:ascii="宋体" w:hAnsi="宋体"/>
          <w:color w:val="auto"/>
          <w:sz w:val="24"/>
          <w:highlight w:val="none"/>
        </w:rPr>
        <w:t xml:space="preserve">不承担其他任何费用及损失。若因</w:t>
      </w:r>
      <w:r>
        <w:rPr>
          <w:rFonts w:hint="eastAsia" w:ascii="宋体" w:hAnsi="宋体"/>
          <w:color w:val="auto"/>
          <w:sz w:val="24"/>
          <w:highlight w:val="none"/>
        </w:rPr>
        <w:t xml:space="preserve">成交供应商</w:t>
      </w:r>
      <w:r>
        <w:rPr>
          <w:rFonts w:ascii="宋体" w:hAnsi="宋体"/>
          <w:color w:val="auto"/>
          <w:sz w:val="24"/>
          <w:highlight w:val="none"/>
        </w:rPr>
        <w:t xml:space="preserve">原因导致项目无法完成，因此产生的损失将由</w:t>
      </w:r>
      <w:r>
        <w:rPr>
          <w:rFonts w:hint="eastAsia" w:ascii="宋体" w:hAnsi="宋体"/>
          <w:color w:val="auto"/>
          <w:sz w:val="24"/>
          <w:highlight w:val="none"/>
        </w:rPr>
        <w:t xml:space="preserve">成交供应商承担</w:t>
      </w:r>
      <w:r>
        <w:rPr>
          <w:rFonts w:ascii="宋体" w:hAnsi="宋体"/>
          <w:color w:val="auto"/>
          <w:sz w:val="24"/>
          <w:highlight w:val="none"/>
        </w:rPr>
        <w:t xml:space="preserve">。</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九、电子招标投标交易平台</w:t>
      </w:r>
      <w:r/>
    </w:p>
    <w:p>
      <w:pPr>
        <w:ind w:firstLine="480"/>
        <w:spacing w:line="360" w:lineRule="auto"/>
        <w:tabs>
          <w:tab w:val="left" w:pos="900" w:leader="none"/>
        </w:tabs>
        <w:rPr>
          <w:rFonts w:ascii="宋体" w:hAnsi="宋体"/>
          <w:color w:val="auto"/>
          <w:sz w:val="24"/>
          <w:highlight w:val="none"/>
          <w:lang w:eastAsia="en-US"/>
        </w:rPr>
      </w:pPr>
      <w:r>
        <w:rPr>
          <w:rFonts w:hint="eastAsia" w:ascii="宋体" w:hAnsi="宋体"/>
          <w:color w:val="auto"/>
          <w:sz w:val="24"/>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olor w:val="auto"/>
          <w:sz w:val="24"/>
          <w:highlight w:val="none"/>
          <w:lang w:eastAsia="en-US"/>
        </w:rPr>
        <w:t xml:space="preserve">http://jszfcg.jsczt.cn/）相关要求是本采购文件的组成部分。</w:t>
      </w:r>
      <w:r>
        <w:rPr>
          <w:rFonts w:hint="eastAsia" w:ascii="宋体" w:hAnsi="宋体"/>
          <w:color w:val="auto"/>
          <w:sz w:val="24"/>
          <w:highlight w:val="none"/>
          <w:lang w:eastAsia="en-US"/>
        </w:rPr>
        <w:fldChar w:fldCharType="end"/>
      </w:r>
      <w:r/>
    </w:p>
    <w:p>
      <w:pPr>
        <w:numPr>
          <w:ilvl w:val="0"/>
          <w:numId w:val="3"/>
        </w:num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履约保证金</w:t>
      </w:r>
      <w:r/>
    </w:p>
    <w:p>
      <w:pPr>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    本项目不收</w:t>
      </w:r>
      <w:r>
        <w:rPr>
          <w:rFonts w:hint="eastAsia" w:ascii="宋体" w:hAnsi="宋体"/>
          <w:color w:val="auto"/>
          <w:sz w:val="24"/>
          <w:highlight w:val="none"/>
          <w:lang w:val="en-US" w:eastAsia="zh-CN"/>
        </w:rPr>
        <w:t xml:space="preserve">取</w:t>
      </w:r>
      <w:r>
        <w:rPr>
          <w:rFonts w:hint="eastAsia" w:ascii="宋体" w:hAnsi="宋体"/>
          <w:color w:val="auto"/>
          <w:sz w:val="24"/>
          <w:highlight w:val="none"/>
        </w:rPr>
        <w:t xml:space="preserve">履约保证金。</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十一、政府采购政策：</w:t>
      </w:r>
      <w:r/>
    </w:p>
    <w:p>
      <w:pPr>
        <w:pStyle w:val="1247"/>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pStyle w:val="1247"/>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pStyle w:val="1247"/>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pStyle w:val="1247"/>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247"/>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5.根据《商品包装政府采购需求标准（试行）》《快递包装政府采购需求标准（试行）》的通知（财办库〔2020〕123号要求，商品使用的塑料、纸质、木材等包装需达到环保要求。</w:t>
      </w:r>
      <w:r/>
    </w:p>
    <w:p>
      <w:pPr>
        <w:pStyle w:val="1247"/>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247"/>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7.成交供应商可凭政府采购合同办理融资贷款，详情详见江苏政府采购网“政采贷”专栏。</w:t>
      </w:r>
      <w:r/>
    </w:p>
    <w:p>
      <w:pPr>
        <w:pStyle w:val="1247"/>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pStyle w:val="1247"/>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9.专门面向中小微企业采购的项目，小微企业不再享受价格扣除优惠政策。</w:t>
      </w:r>
      <w:r/>
    </w:p>
    <w:p>
      <w:pPr>
        <w:pStyle w:val="1247"/>
        <w:ind w:firstLine="43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10.未按要求提供相关材料的，不享受相关政策。</w:t>
      </w:r>
      <w:r/>
    </w:p>
    <w:p>
      <w:pPr>
        <w:ind w:firstLine="480"/>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十二、</w:t>
      </w:r>
      <w:r>
        <w:rPr>
          <w:rFonts w:hint="eastAsia" w:ascii="宋体" w:hAnsi="宋体" w:cs="宋体"/>
          <w:color w:val="auto"/>
          <w:sz w:val="24"/>
          <w:highlight w:val="none"/>
        </w:rPr>
        <w:t xml:space="preserve">其他说明</w:t>
      </w:r>
      <w:r>
        <w:rPr>
          <w:rFonts w:hint="eastAsia" w:ascii="宋体" w:hAnsi="宋体"/>
          <w:color w:val="auto"/>
          <w:sz w:val="24"/>
          <w:highlight w:val="none"/>
        </w:rPr>
        <w:t xml:space="preserve">：</w:t>
      </w:r>
      <w:r/>
    </w:p>
    <w:p>
      <w:pPr>
        <w:contextualSpacing/>
        <w:ind w:firstLine="480"/>
        <w:spacing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1.响应文件格式中需签字或盖章处均可以用电子签名或电子章代替。</w:t>
      </w:r>
      <w:r/>
    </w:p>
    <w:p>
      <w:pPr>
        <w:ind w:firstLine="480"/>
        <w:spacing w:line="360" w:lineRule="auto"/>
        <w:tabs>
          <w:tab w:val="left" w:pos="900" w:leader="none"/>
        </w:tabs>
        <w:rPr>
          <w:rFonts w:ascii="宋体" w:hAnsi="宋体"/>
          <w:color w:val="auto"/>
          <w:sz w:val="24"/>
          <w:highlight w:val="none"/>
        </w:rPr>
      </w:pPr>
      <w:r>
        <w:rPr>
          <w:rFonts w:ascii="宋体" w:hAnsi="宋体"/>
          <w:color w:val="auto"/>
          <w:sz w:val="24"/>
          <w:highlight w:val="none"/>
        </w:rPr>
      </w:r>
      <w:r/>
    </w:p>
    <w:p>
      <w:pPr>
        <w:pStyle w:val="1247"/>
        <w:ind w:firstLine="431"/>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tabs>
          <w:tab w:val="left" w:pos="900" w:leader="none"/>
        </w:tabs>
        <w:rPr>
          <w:rFonts w:ascii="宋体" w:hAnsi="宋体"/>
          <w:color w:val="auto"/>
          <w:sz w:val="24"/>
          <w:highlight w:val="none"/>
        </w:rPr>
      </w:pPr>
      <w:r>
        <w:rPr>
          <w:rFonts w:ascii="宋体" w:hAnsi="宋体"/>
          <w:color w:val="auto"/>
          <w:sz w:val="24"/>
          <w:highlight w:val="none"/>
        </w:rPr>
      </w:r>
      <w:r/>
    </w:p>
    <w:p>
      <w:pPr>
        <w:ind w:firstLine="480"/>
        <w:spacing w:line="360" w:lineRule="auto"/>
        <w:tabs>
          <w:tab w:val="left" w:pos="900" w:leader="none"/>
        </w:tabs>
        <w:rPr>
          <w:rFonts w:ascii="宋体" w:hAnsi="宋体"/>
          <w:color w:val="auto"/>
          <w:sz w:val="24"/>
          <w:highlight w:val="none"/>
        </w:rPr>
      </w:pPr>
      <w:r>
        <w:rPr>
          <w:rFonts w:ascii="宋体" w:hAnsi="宋体"/>
          <w:color w:val="auto"/>
          <w:sz w:val="24"/>
          <w:highlight w:val="none"/>
        </w:rPr>
      </w:r>
      <w:bookmarkEnd w:id="52"/>
      <w:r/>
      <w:bookmarkEnd w:id="53"/>
      <w:r/>
      <w:bookmarkEnd w:id="54"/>
      <w:r/>
      <w:r/>
    </w:p>
    <w:p>
      <w:pPr>
        <w:jc w:val="cente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br w:type="page" w:clear="all"/>
      </w:r>
      <w:r>
        <w:rPr>
          <w:rStyle w:val="1242"/>
          <w:rFonts w:hint="eastAsia" w:cs="宋体" w:asciiTheme="minorEastAsia" w:hAnsiTheme="minorEastAsia" w:eastAsiaTheme="minorEastAsia"/>
          <w:color w:val="auto"/>
          <w:sz w:val="32"/>
          <w:szCs w:val="32"/>
          <w:highlight w:val="none"/>
        </w:rPr>
        <w:t xml:space="preserve">第三章  </w:t>
      </w:r>
      <w:bookmarkEnd w:id="35"/>
      <w:r/>
      <w:bookmarkStart w:id="98" w:name="_Hlt16619369"/>
      <w:r/>
      <w:bookmarkEnd w:id="98"/>
      <w:r/>
      <w:bookmarkStart w:id="99" w:name="_Toc3383091"/>
      <w:r/>
      <w:bookmarkStart w:id="100" w:name="_Toc481072015"/>
      <w:r/>
      <w:bookmarkStart w:id="101" w:name="_Toc475009299"/>
      <w:r/>
      <w:bookmarkStart w:id="102" w:name="_Toc120614244"/>
      <w:r/>
      <w:bookmarkStart w:id="103" w:name="_Toc481071969"/>
      <w:r/>
      <w:bookmarkStart w:id="104" w:name="_Hlt16619350"/>
      <w:r/>
      <w:bookmarkStart w:id="105" w:name="_Toc20823346"/>
      <w:r/>
      <w:bookmarkStart w:id="106" w:name="_Toc511305209"/>
      <w:r/>
      <w:bookmarkStart w:id="107" w:name="_Toc16938590"/>
      <w:r>
        <w:rPr>
          <w:rFonts w:hint="eastAsia" w:ascii="宋体" w:hAnsi="宋体" w:cs="宋体" w:eastAsiaTheme="minorEastAsia"/>
          <w:b/>
          <w:color w:val="auto"/>
          <w:sz w:val="30"/>
          <w:highlight w:val="none"/>
          <w:lang w:val="en-US" w:eastAsia="zh-CN"/>
        </w:rPr>
        <w:t xml:space="preserve">合同条款及格式</w:t>
      </w:r>
      <w:r>
        <w:rPr>
          <w:rFonts w:ascii="宋体" w:hAnsi="宋体" w:cs="宋体"/>
          <w:b/>
          <w:color w:val="auto"/>
          <w:sz w:val="30"/>
          <w:highlight w:val="none"/>
        </w:rPr>
        <w:t xml:space="preserve">（</w:t>
      </w:r>
      <w:r>
        <w:rPr>
          <w:rFonts w:hint="eastAsia" w:ascii="宋体" w:hAnsi="宋体" w:cs="宋体"/>
          <w:b/>
          <w:color w:val="auto"/>
          <w:sz w:val="30"/>
          <w:highlight w:val="none"/>
        </w:rPr>
        <w:t xml:space="preserve">参考</w:t>
      </w:r>
      <w:r>
        <w:rPr>
          <w:rFonts w:ascii="宋体" w:hAnsi="宋体" w:cs="宋体"/>
          <w:b/>
          <w:color w:val="auto"/>
          <w:sz w:val="30"/>
          <w:highlight w:val="none"/>
        </w:rPr>
        <w:t xml:space="preserve">）</w:t>
      </w:r>
      <w:r/>
    </w:p>
    <w:p>
      <w:pPr>
        <w:jc w:val="left"/>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                                 </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项目编号：</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甲方：（买方）_________</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乙方：（卖方）_________</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rPr>
          <w:rFonts w:ascii="宋体" w:hAnsi="宋体" w:cs="宋体"/>
          <w:color w:val="auto"/>
          <w:sz w:val="24"/>
          <w:highlight w:val="none"/>
        </w:rPr>
        <w:t xml:space="preserve">甲、乙双方根据</w:t>
      </w:r>
      <w:r>
        <w:rPr>
          <w:rFonts w:ascii="宋体" w:hAnsi="宋体" w:cs="宋体"/>
          <w:color w:val="auto"/>
          <w:sz w:val="24"/>
          <w:highlight w:val="none"/>
          <w:u w:val="single"/>
        </w:rPr>
        <w:t xml:space="preserve">         </w:t>
      </w:r>
      <w:r>
        <w:rPr>
          <w:rFonts w:ascii="宋体" w:hAnsi="宋体" w:cs="宋体"/>
          <w:color w:val="auto"/>
          <w:sz w:val="24"/>
          <w:highlight w:val="none"/>
        </w:rPr>
        <w:t xml:space="preserve">项目竞争性磋商的结果，签署本合同。</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一、合同内容</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标的名称：</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 标的质量：</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 标的数量（规模）：</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 履行时间（期限）：</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 履行地点：</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 履行方式：</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二、合同金额</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2.1本合同金额为（大写）：____________________________________圆（_______________元）人民币或其他币种。</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三、技术资料</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3.1乙方应按磋商文件规定的时间向甲方提供与合同标的有关的技术资料。</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四、知识产权</w:t>
      </w:r>
      <w:r/>
    </w:p>
    <w:p>
      <w:pPr>
        <w:ind w:left="408" w:hanging="408"/>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五、产权担保</w:t>
      </w:r>
      <w:r/>
    </w:p>
    <w:p>
      <w:pPr>
        <w:ind w:left="408" w:hanging="408"/>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5.1乙方保证所交付的合同标的的所有权完全属于乙方且无任何抵押、查封等产权瑕疵。</w:t>
      </w:r>
      <w:r/>
    </w:p>
    <w:p>
      <w:pPr>
        <w:numPr>
          <w:ilvl w:val="0"/>
          <w:numId w:val="4"/>
        </w:numPr>
        <w:ind w:left="410" w:hanging="410"/>
        <w:spacing w:before="120" w:after="120" w:line="400"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履约保证金</w:t>
      </w:r>
      <w:r/>
    </w:p>
    <w:p>
      <w:pPr>
        <w:ind w:left="408" w:hanging="408"/>
        <w:spacing w:before="120" w:after="120"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本项目不收取履约保证金</w:t>
      </w:r>
      <w:r/>
    </w:p>
    <w:p>
      <w:pP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七、合同转包或分包</w:t>
      </w:r>
      <w:r/>
    </w:p>
    <w:p>
      <w:pP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7.1乙方不得将合同标的转包给他人履行。</w:t>
      </w:r>
      <w:r/>
    </w:p>
    <w:p>
      <w:pP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7.2乙方不得将合同标的分包给他人履行。</w:t>
      </w:r>
      <w:r/>
    </w:p>
    <w:p>
      <w:pP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7.3乙方如有转包或未经甲方同意的分包行为，甲方有权解除合同。</w:t>
      </w:r>
      <w:r/>
    </w:p>
    <w:p>
      <w:pPr>
        <w:numPr>
          <w:ilvl w:val="0"/>
          <w:numId w:val="2"/>
        </w:numPr>
        <w:spacing w:before="120" w:after="120" w:line="400"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合同款项支付</w:t>
      </w:r>
      <w:r/>
    </w:p>
    <w:p>
      <w:pPr>
        <w:spacing w:before="120" w:after="120" w:line="400"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九、税费</w:t>
      </w:r>
      <w:r/>
    </w:p>
    <w:p>
      <w:pPr>
        <w:spacing w:before="145" w:after="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9.1本合同执行中相关的一切税费均由乙方负担。</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十、项目验收</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10.1甲方依法组织履约验收工作。</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10.3对于实际使用人和甲方分离的项目，甲方邀请实际使用人参与验收。</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10.4如有必要，甲方邀请参加本项目的其他供应商或第三方专业机构及专家参与验收，相关意见将作为验收书的参考资料。</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auto"/>
          <w:sz w:val="24"/>
          <w:highlight w:val="none"/>
        </w:rPr>
        <w:t xml:space="preserve">中华人民共和国民法典</w:t>
      </w:r>
      <w:r>
        <w:rPr>
          <w:rFonts w:ascii="宋体" w:hAnsi="宋体" w:cs="宋体"/>
          <w:color w:val="auto"/>
          <w:sz w:val="24"/>
          <w:highlight w:val="none"/>
        </w:rPr>
        <w:t xml:space="preserve">》。乙方在履约过程中有政府采购法律法规规定的违法违规情形的,甲方将及时报告本级财政部门。</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十一、违约责任</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甲方无正当理由拒绝接受乙方提供的合同标的的，甲方向乙方偿付拒绝接受合同价款总值</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11.2甲方无故逾期验收和办理合同款项支付手续的,甲方应按逾期付款总额</w:t>
      </w:r>
      <w:r>
        <w:rPr>
          <w:rFonts w:ascii="宋体" w:hAnsi="宋体" w:cs="宋体"/>
          <w:color w:val="auto"/>
          <w:sz w:val="24"/>
          <w:highlight w:val="none"/>
          <w:u w:val="single"/>
        </w:rPr>
        <w:t xml:space="preserve">    </w:t>
      </w:r>
      <w:r>
        <w:rPr>
          <w:rFonts w:ascii="宋体" w:hAnsi="宋体" w:cs="宋体"/>
          <w:color w:val="auto"/>
          <w:sz w:val="24"/>
          <w:highlight w:val="none"/>
        </w:rPr>
        <w:t xml:space="preserve">每日向乙方支付违约金。</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color w:val="auto"/>
          <w:sz w:val="24"/>
          <w:highlight w:val="none"/>
          <w:u w:val="single"/>
        </w:rPr>
        <w:t xml:space="preserve">     </w:t>
      </w:r>
      <w:r>
        <w:rPr>
          <w:rFonts w:ascii="宋体" w:hAnsi="宋体" w:cs="宋体"/>
          <w:color w:val="auto"/>
          <w:sz w:val="24"/>
          <w:highlight w:val="none"/>
        </w:rPr>
        <w:t xml:space="preserve">的违约金，如造成甲方损失超过违约金的，超出部分由乙方继续承担赔偿责任。 </w:t>
      </w:r>
      <w:r/>
    </w:p>
    <w:p>
      <w:pPr>
        <w:ind w:left="410" w:hanging="41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11.4乙方交付合同标的的标准不符合合同规定及磋商文件规定标准的，甲方有权拒绝接受合同标的，并可单方面解除合同。</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十二、不可抗力事件处理</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12.1在合同有效期内，任何一方因不可抗力事件导致不能履行合同，则合同履行期可延长，其延长期与不可抗力影响期相同。</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12.2不可抗力事件发生后，应立即通知对方，并寄送有关权威机构出具的证明。</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12.3不可抗力事件延续120天以上，双方应通过友好协商，确定是否继续履行合同。</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十三、解决争议的方法</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13.1双方在签订、履行合同中所发生的一切争议，应通过友好协商解决。如协商不成，由甲方住所地人民法院管辖。</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十四、合同生效及其</w:t>
      </w:r>
      <w:r>
        <w:rPr>
          <w:rFonts w:hint="eastAsia" w:ascii="宋体" w:hAnsi="宋体" w:cs="宋体"/>
          <w:b/>
          <w:color w:val="auto"/>
          <w:sz w:val="24"/>
          <w:highlight w:val="none"/>
        </w:rPr>
        <w:t xml:space="preserve">他</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 合同经双方法定代表人或授权委托代表人签字并加盖单位公章后生效。</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14.2本合同未尽事宜，遵照中华人民共和国现行法律法规有关条文执行。</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 本合同正本一式三份，具有同等法律效力，甲方、乙方及财政监管部门各执一份。</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left="480" w:hanging="480"/>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甲方：                    </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乙方： </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地址：                     地址： </w:t>
      </w:r>
      <w:r/>
    </w:p>
    <w:p>
      <w:pPr>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法定代表人或授权代表：             法定代表人或授权代表：</w:t>
      </w:r>
      <w:r/>
    </w:p>
    <w:p>
      <w:pPr>
        <w:ind w:firstLine="240"/>
        <w:jc w:val="both"/>
        <w:spacing w:before="120" w:after="12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ascii="宋体" w:hAnsi="宋体" w:cs="宋体"/>
          <w:color w:val="auto"/>
          <w:sz w:val="24"/>
          <w:highlight w:val="none"/>
        </w:rPr>
        <w:t xml:space="preserve">联系电话：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签订日期：      年    月   日</w:t>
      </w:r>
      <w:r/>
      <w:r>
        <w:rPr>
          <w:rFonts w:hint="eastAsia" w:ascii="宋体" w:hAnsi="宋体" w:cs="宋体"/>
          <w:bCs/>
          <w:color w:val="auto"/>
          <w:sz w:val="24"/>
          <w:szCs w:val="24"/>
          <w:highlight w:val="none"/>
        </w:rPr>
        <w:br w:type="page" w:clear="all"/>
      </w:r>
      <w:bookmarkEnd w:id="99"/>
      <w:r/>
      <w:bookmarkEnd w:id="100"/>
      <w:r/>
      <w:bookmarkEnd w:id="101"/>
      <w:r/>
      <w:bookmarkEnd w:id="102"/>
      <w:r/>
      <w:bookmarkEnd w:id="103"/>
      <w:r/>
      <w:bookmarkEnd w:id="104"/>
      <w:r/>
      <w:bookmarkEnd w:id="105"/>
      <w:r/>
      <w:bookmarkEnd w:id="106"/>
      <w:r/>
      <w:bookmarkEnd w:id="107"/>
      <w:r/>
      <w:r/>
      <w:r>
        <w:rPr>
          <w:color w:val="auto"/>
          <w:highlight w:val="none"/>
        </w:rPr>
      </w:r>
    </w:p>
    <w:p>
      <w:pPr>
        <w:pStyle w:val="1215"/>
        <w:numPr>
          <w:ilvl w:val="0"/>
          <w:numId w:val="5"/>
        </w:numPr>
        <w:rPr>
          <w:color w:val="auto"/>
          <w:sz w:val="32"/>
          <w:szCs w:val="32"/>
          <w:highlight w:val="none"/>
        </w:rPr>
      </w:pPr>
      <w:r/>
      <w:bookmarkStart w:id="108" w:name="_Toc32522"/>
      <w:r/>
      <w:bookmarkStart w:id="109" w:name="_Toc304379119"/>
      <w:r/>
      <w:bookmarkStart w:id="110" w:name="_Toc262789432"/>
      <w:r/>
      <w:bookmarkStart w:id="111" w:name="_Toc23828480"/>
      <w:r/>
      <w:bookmarkStart w:id="112" w:name="_Toc61149622"/>
      <w:r/>
      <w:bookmarkStart w:id="113" w:name="_Toc26554097"/>
      <w:r>
        <w:rPr>
          <w:rFonts w:hint="eastAsia" w:ascii="宋体" w:hAnsi="宋体" w:eastAsia="宋体" w:cs="宋体"/>
          <w:color w:val="auto"/>
          <w:sz w:val="32"/>
          <w:szCs w:val="32"/>
          <w:highlight w:val="none"/>
        </w:rPr>
        <w:t xml:space="preserve"> 采购需求</w:t>
      </w:r>
      <w:bookmarkEnd w:id="108"/>
      <w:r/>
      <w:r/>
    </w:p>
    <w:p>
      <w:pPr>
        <w:ind w:right="99"/>
        <w:spacing w:line="360" w:lineRule="auto"/>
        <w:rPr>
          <w:rFonts w:hint="eastAsia" w:ascii="宋体" w:hAnsi="宋体" w:eastAsia="宋体" w:cs="仿宋"/>
          <w:b/>
          <w:bCs/>
          <w:color w:val="auto"/>
          <w:sz w:val="24"/>
          <w:highlight w:val="none"/>
          <w:lang w:eastAsia="zh-CN"/>
        </w:rPr>
      </w:pPr>
      <w:r>
        <w:rPr>
          <w:rFonts w:hint="eastAsia" w:ascii="宋体" w:hAnsi="宋体" w:eastAsia="宋体" w:cs="仿宋"/>
          <w:b/>
          <w:bCs/>
          <w:color w:val="auto"/>
          <w:sz w:val="24"/>
          <w:highlight w:val="none"/>
          <w:lang w:eastAsia="zh-CN"/>
        </w:rPr>
      </w:r>
      <w:r/>
    </w:p>
    <w:p>
      <w:pPr>
        <w:ind w:right="99" w:firstLine="482"/>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一、项目提出的背景及依据</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2019年，财政部提出财政预算管理一体化改革目标：以建设预算编制、预算执行（含会计核算）、决算和财务报告管理等核心业务一体化系统为基础，逐步纳入资产管理和债务管理等，形成预算管理一体化。2020年3月，财政部出台试行新的预算管理一体化业务规范和技术标准。江苏省财政厅遵循财政部的标准规范，相应制定了《江苏省预算管理一体化规范（试行）》（苏财办﹝2020﹞41号），启动江苏省预算管理一体化系统的建设。我</w:t>
      </w:r>
      <w:r>
        <w:rPr>
          <w:rFonts w:hint="eastAsia" w:ascii="宋体" w:hAnsi="宋体" w:cs="仿宋"/>
          <w:color w:val="auto"/>
          <w:sz w:val="24"/>
          <w:highlight w:val="none"/>
          <w:lang w:val="en-US" w:eastAsia="zh-CN"/>
        </w:rPr>
        <w:t xml:space="preserve">区</w:t>
      </w:r>
      <w:r>
        <w:rPr>
          <w:rFonts w:hint="eastAsia" w:ascii="宋体" w:hAnsi="宋体" w:cs="仿宋"/>
          <w:color w:val="auto"/>
          <w:sz w:val="24"/>
          <w:highlight w:val="none"/>
        </w:rPr>
        <w:t xml:space="preserve">根据省财政厅统一部署，新版预算一体化系统自2020年10月开始实施部署，于2021年1月1日正式上线运行。</w:t>
      </w:r>
      <w:r/>
    </w:p>
    <w:p>
      <w:pPr>
        <w:ind w:firstLine="482"/>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二、项目建设目标</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做好省预算管理一体化系统现有模块（预算编制板块、绩效板块、预算执行板块）的运维保障和完善服务，保障</w:t>
      </w:r>
      <w:r>
        <w:rPr>
          <w:rFonts w:hint="eastAsia" w:ascii="宋体" w:hAnsi="宋体" w:cs="仿宋"/>
          <w:color w:val="auto"/>
          <w:sz w:val="24"/>
          <w:highlight w:val="none"/>
          <w:lang w:val="en-US" w:eastAsia="zh-CN"/>
        </w:rPr>
        <w:t xml:space="preserve">姜堰区</w:t>
      </w:r>
      <w:r>
        <w:rPr>
          <w:rFonts w:hint="eastAsia" w:ascii="宋体" w:hAnsi="宋体" w:cs="仿宋"/>
          <w:color w:val="auto"/>
          <w:sz w:val="24"/>
          <w:highlight w:val="none"/>
        </w:rPr>
        <w:t xml:space="preserve">本级</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lang w:val="en-US" w:eastAsia="zh-CN"/>
        </w:rPr>
        <w:t xml:space="preserve">乡镇</w:t>
      </w:r>
      <w:r>
        <w:rPr>
          <w:rFonts w:hint="eastAsia" w:ascii="宋体" w:hAnsi="宋体" w:cs="仿宋"/>
          <w:color w:val="auto"/>
          <w:sz w:val="24"/>
          <w:highlight w:val="none"/>
        </w:rPr>
        <w:t xml:space="preserve">财政部门</w:t>
      </w:r>
      <w:r>
        <w:rPr>
          <w:rFonts w:hint="eastAsia" w:ascii="宋体" w:hAnsi="宋体" w:cs="仿宋"/>
          <w:color w:val="auto"/>
          <w:sz w:val="24"/>
          <w:highlight w:val="none"/>
          <w:lang w:val="en-US" w:eastAsia="zh-CN"/>
        </w:rPr>
        <w:t xml:space="preserve">及</w:t>
      </w:r>
      <w:r>
        <w:rPr>
          <w:rFonts w:hint="eastAsia" w:ascii="宋体" w:hAnsi="宋体" w:cs="仿宋"/>
          <w:color w:val="auto"/>
          <w:sz w:val="24"/>
          <w:highlight w:val="none"/>
        </w:rPr>
        <w:t xml:space="preserve">各预算单位使用省厅预算管理一体化系统顺利开展预算编制、预算执行等各项工作；通过</w:t>
      </w:r>
      <w:r>
        <w:rPr>
          <w:rFonts w:hint="eastAsia" w:ascii="宋体" w:hAnsi="宋体" w:cs="仿宋"/>
          <w:color w:val="auto"/>
          <w:sz w:val="24"/>
          <w:highlight w:val="none"/>
          <w:shd w:val="clear" w:color="auto" w:fill="ffffff"/>
        </w:rPr>
        <w:t xml:space="preserve">科学、标准、专业、安全的运维服务，提高软件运维管理水平，促进IT建设投资向财政管理价值的转化。确保我</w:t>
      </w:r>
      <w:r>
        <w:rPr>
          <w:rFonts w:hint="eastAsia" w:ascii="宋体" w:hAnsi="宋体" w:cs="仿宋"/>
          <w:color w:val="auto"/>
          <w:sz w:val="24"/>
          <w:highlight w:val="none"/>
          <w:shd w:val="clear" w:color="auto" w:fill="ffffff"/>
          <w:lang w:val="en-US" w:eastAsia="zh-CN"/>
        </w:rPr>
        <w:t xml:space="preserve">区</w:t>
      </w:r>
      <w:r>
        <w:rPr>
          <w:rFonts w:hint="eastAsia" w:ascii="宋体" w:hAnsi="宋体" w:cs="仿宋"/>
          <w:color w:val="auto"/>
          <w:sz w:val="24"/>
          <w:highlight w:val="none"/>
          <w:shd w:val="clear" w:color="auto" w:fill="ffffff"/>
        </w:rPr>
        <w:t xml:space="preserve">预算管理一体化系统软件平稳运行，</w:t>
      </w:r>
      <w:r>
        <w:rPr>
          <w:rFonts w:hint="eastAsia" w:ascii="宋体" w:hAnsi="宋体" w:cs="仿宋"/>
          <w:color w:val="auto"/>
          <w:sz w:val="24"/>
          <w:highlight w:val="none"/>
        </w:rPr>
        <w:t xml:space="preserve">达到加强我</w:t>
      </w:r>
      <w:r>
        <w:rPr>
          <w:rFonts w:hint="eastAsia" w:ascii="宋体" w:hAnsi="宋体" w:cs="仿宋"/>
          <w:color w:val="auto"/>
          <w:sz w:val="24"/>
          <w:highlight w:val="none"/>
          <w:lang w:val="en-US" w:eastAsia="zh-CN"/>
        </w:rPr>
        <w:t xml:space="preserve">区</w:t>
      </w:r>
      <w:r>
        <w:rPr>
          <w:rFonts w:hint="eastAsia" w:ascii="宋体" w:hAnsi="宋体" w:cs="仿宋"/>
          <w:color w:val="auto"/>
          <w:sz w:val="24"/>
          <w:highlight w:val="none"/>
        </w:rPr>
        <w:t xml:space="preserve">财政管理水平，同时整合数据资源，充分发挥财政信息化系统建设价值、保证国家财政资金的安全有效运用。</w:t>
      </w:r>
      <w:r/>
    </w:p>
    <w:p>
      <w:pPr>
        <w:ind w:firstLine="480"/>
        <w:jc w:val="left"/>
        <w:spacing w:line="360" w:lineRule="auto"/>
        <w:widowControl/>
        <w:rPr>
          <w:rFonts w:ascii="宋体" w:hAnsi="宋体" w:cs="仿宋"/>
          <w:color w:val="auto"/>
          <w:sz w:val="24"/>
          <w:highlight w:val="none"/>
        </w:rPr>
      </w:pPr>
      <w:r>
        <w:rPr>
          <w:rFonts w:hint="eastAsia" w:ascii="宋体" w:hAnsi="宋体" w:cs="仿宋"/>
          <w:color w:val="auto"/>
          <w:sz w:val="24"/>
          <w:highlight w:val="none"/>
        </w:rPr>
        <w:t xml:space="preserve">按照《江苏省财政预算管理一体化系统实施工作方案》统一规划和要求，结合</w:t>
      </w:r>
      <w:r>
        <w:rPr>
          <w:rFonts w:hint="eastAsia" w:ascii="宋体" w:hAnsi="宋体" w:cs="仿宋"/>
          <w:color w:val="auto"/>
          <w:sz w:val="24"/>
          <w:highlight w:val="none"/>
          <w:lang w:val="en-US" w:eastAsia="zh-CN"/>
        </w:rPr>
        <w:t xml:space="preserve">姜堰区</w:t>
      </w:r>
      <w:r>
        <w:rPr>
          <w:rFonts w:hint="eastAsia" w:ascii="宋体" w:hAnsi="宋体" w:cs="仿宋"/>
          <w:color w:val="auto"/>
          <w:sz w:val="24"/>
          <w:highlight w:val="none"/>
        </w:rPr>
        <w:t xml:space="preserve">财政管理现状和工作实际，按照省财政厅统一组织、地方财政部门具体负责、系统开发厂商后台支撑、服务团队现场保障模式组织运维服务，保障乡镇预算管理一体化系统运维。</w:t>
      </w:r>
      <w:r/>
    </w:p>
    <w:p>
      <w:pPr>
        <w:ind w:firstLine="482"/>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三、运维实施服务范围及服务对象</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lang w:val="en-US" w:eastAsia="zh-CN"/>
        </w:rPr>
        <w:t xml:space="preserve">区</w:t>
      </w:r>
      <w:r>
        <w:rPr>
          <w:rFonts w:hint="eastAsia" w:ascii="宋体" w:hAnsi="宋体" w:cs="仿宋"/>
          <w:color w:val="auto"/>
          <w:sz w:val="24"/>
          <w:szCs w:val="24"/>
          <w:highlight w:val="none"/>
        </w:rPr>
        <w:t xml:space="preserve">本级一体化系统：江苏省预算一体化系统（预算编制板块、绩效板块、预算执行板块）。</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乡镇一体化系统：</w:t>
      </w:r>
      <w:r>
        <w:rPr>
          <w:rFonts w:hint="eastAsia" w:ascii="宋体" w:hAnsi="宋体" w:cs="仿宋"/>
          <w:color w:val="auto"/>
          <w:sz w:val="24"/>
          <w:szCs w:val="24"/>
          <w:highlight w:val="none"/>
          <w:lang w:bidi="ar"/>
        </w:rPr>
        <w:t xml:space="preserve">乡镇预算管理一体化系统</w:t>
      </w:r>
      <w:r>
        <w:rPr>
          <w:rFonts w:hint="eastAsia" w:ascii="宋体" w:hAnsi="宋体" w:cs="仿宋"/>
          <w:color w:val="auto"/>
          <w:sz w:val="24"/>
          <w:szCs w:val="24"/>
          <w:highlight w:val="none"/>
        </w:rPr>
        <w:t xml:space="preserve">（预算编制板块、绩效板块、预算执行板块）。</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服务对象包括</w:t>
      </w:r>
      <w:r>
        <w:rPr>
          <w:rFonts w:hint="eastAsia" w:ascii="宋体" w:hAnsi="宋体" w:cs="仿宋"/>
          <w:color w:val="auto"/>
          <w:sz w:val="24"/>
          <w:highlight w:val="none"/>
          <w:lang w:val="en-US" w:eastAsia="zh-CN"/>
        </w:rPr>
        <w:t xml:space="preserve">姜堰区</w:t>
      </w:r>
      <w:r>
        <w:rPr>
          <w:rFonts w:hint="eastAsia" w:ascii="宋体" w:hAnsi="宋体" w:cs="仿宋"/>
          <w:color w:val="auto"/>
          <w:sz w:val="24"/>
          <w:highlight w:val="none"/>
        </w:rPr>
        <w:t xml:space="preserve">财政用户、</w:t>
      </w:r>
      <w:r>
        <w:rPr>
          <w:rFonts w:hint="eastAsia" w:ascii="宋体" w:hAnsi="宋体" w:cs="仿宋"/>
          <w:color w:val="auto"/>
          <w:sz w:val="24"/>
          <w:highlight w:val="none"/>
          <w:lang w:val="en-US" w:eastAsia="zh-CN"/>
        </w:rPr>
        <w:t xml:space="preserve">区</w:t>
      </w:r>
      <w:r>
        <w:rPr>
          <w:rFonts w:hint="eastAsia" w:ascii="宋体" w:hAnsi="宋体" w:cs="仿宋"/>
          <w:color w:val="auto"/>
          <w:sz w:val="24"/>
          <w:highlight w:val="none"/>
        </w:rPr>
        <w:t xml:space="preserve">本级预算单位用户、银行用户、乡镇街道用户等。</w:t>
      </w:r>
      <w:r/>
    </w:p>
    <w:p>
      <w:pPr>
        <w:ind w:firstLine="480"/>
        <w:spacing w:line="360" w:lineRule="auto"/>
        <w:rPr>
          <w:rFonts w:hint="eastAsia" w:ascii="宋体" w:hAnsi="宋体" w:cs="仿宋"/>
          <w:b/>
          <w:bCs/>
          <w:color w:val="auto"/>
          <w:sz w:val="24"/>
          <w:highlight w:val="none"/>
        </w:rPr>
      </w:pPr>
      <w:r>
        <w:rPr>
          <w:rFonts w:hint="eastAsia" w:ascii="宋体" w:hAnsi="宋体" w:cs="仿宋"/>
          <w:b/>
          <w:bCs/>
          <w:color w:val="auto"/>
          <w:sz w:val="24"/>
          <w:highlight w:val="none"/>
        </w:rPr>
        <w:t xml:space="preserve">四、项目建设要求及内容</w:t>
      </w:r>
      <w:r/>
    </w:p>
    <w:p>
      <w:pPr>
        <w:ind w:firstLine="480"/>
        <w:spacing w:line="360" w:lineRule="auto"/>
        <w:rPr>
          <w:rFonts w:hint="eastAsia" w:ascii="宋体" w:hAnsi="宋体" w:cs="仿宋"/>
          <w:color w:val="auto"/>
          <w:sz w:val="24"/>
          <w:highlight w:val="none"/>
        </w:rPr>
      </w:pPr>
      <w:r>
        <w:rPr>
          <w:rFonts w:hint="eastAsia" w:ascii="宋体" w:hAnsi="宋体" w:cs="仿宋"/>
          <w:color w:val="auto"/>
          <w:sz w:val="24"/>
          <w:highlight w:val="none"/>
          <w:lang w:eastAsia="zh-CN"/>
        </w:rPr>
        <w:t xml:space="preserve">1.</w:t>
      </w:r>
      <w:r>
        <w:rPr>
          <w:rFonts w:hint="eastAsia" w:ascii="宋体" w:hAnsi="宋体" w:cs="仿宋"/>
          <w:color w:val="auto"/>
          <w:sz w:val="24"/>
          <w:highlight w:val="none"/>
        </w:rPr>
        <w:t xml:space="preserve">技术及业务层面要求</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（1）系统总体认识和理解：</w:t>
      </w:r>
      <w:r>
        <w:rPr>
          <w:rFonts w:hint="eastAsia" w:ascii="宋体" w:hAnsi="宋体" w:cs="仿宋"/>
          <w:color w:val="auto"/>
          <w:sz w:val="24"/>
          <w:highlight w:val="none"/>
          <w:lang w:val="zh-CN"/>
        </w:rPr>
        <w:t xml:space="preserve">供应商结合《预算管理一体化业务规范》以及财政相关业务，提供对</w:t>
      </w:r>
      <w:r>
        <w:rPr>
          <w:rFonts w:hint="eastAsia" w:ascii="宋体" w:hAnsi="宋体" w:cs="仿宋"/>
          <w:color w:val="auto"/>
          <w:sz w:val="24"/>
          <w:highlight w:val="none"/>
          <w:lang w:val="en-US" w:eastAsia="zh-CN"/>
        </w:rPr>
        <w:t xml:space="preserve">区</w:t>
      </w:r>
      <w:r>
        <w:rPr>
          <w:rFonts w:hint="eastAsia" w:ascii="宋体" w:hAnsi="宋体" w:cs="仿宋"/>
          <w:color w:val="auto"/>
          <w:sz w:val="24"/>
          <w:highlight w:val="none"/>
          <w:lang w:val="zh-CN"/>
        </w:rPr>
        <w:t xml:space="preserve">本级预算管理一体化系统总体认识和理解。</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val="zh-CN"/>
        </w:rPr>
        <w:t xml:space="preserve">（2）系统逻辑框架、技术框架、数据框架认识和理解：供应商结合《预算管理一体化系统技术标准》，提供对</w:t>
      </w:r>
      <w:r>
        <w:rPr>
          <w:rFonts w:hint="eastAsia" w:ascii="宋体" w:hAnsi="宋体" w:cs="仿宋"/>
          <w:color w:val="auto"/>
          <w:sz w:val="24"/>
          <w:highlight w:val="none"/>
          <w:lang w:val="en-US" w:eastAsia="zh-CN"/>
        </w:rPr>
        <w:t xml:space="preserve">区</w:t>
      </w:r>
      <w:r>
        <w:rPr>
          <w:rFonts w:hint="eastAsia" w:ascii="宋体" w:hAnsi="宋体" w:cs="仿宋"/>
          <w:color w:val="auto"/>
          <w:sz w:val="24"/>
          <w:highlight w:val="none"/>
          <w:lang w:val="zh-CN"/>
        </w:rPr>
        <w:t xml:space="preserve">本级预算管理一体化系统逻辑框架、技术框架、数据框架认识和理解。</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val="zh-CN"/>
        </w:rPr>
        <w:t xml:space="preserve">（</w:t>
      </w:r>
      <w:r>
        <w:rPr>
          <w:rFonts w:hint="eastAsia" w:ascii="宋体" w:hAnsi="宋体" w:cs="仿宋"/>
          <w:color w:val="auto"/>
          <w:sz w:val="24"/>
          <w:highlight w:val="none"/>
        </w:rPr>
        <w:t xml:space="preserve">3</w:t>
      </w:r>
      <w:r>
        <w:rPr>
          <w:rFonts w:hint="eastAsia" w:ascii="宋体" w:hAnsi="宋体" w:cs="仿宋"/>
          <w:color w:val="auto"/>
          <w:sz w:val="24"/>
          <w:highlight w:val="none"/>
          <w:lang w:val="zh-CN"/>
        </w:rPr>
        <w:t xml:space="preserve">）预算编制和绩效板块年度工作理解：供应商结合《</w:t>
      </w:r>
      <w:r>
        <w:rPr>
          <w:rFonts w:hint="eastAsia" w:ascii="宋体" w:hAnsi="宋体" w:cs="仿宋"/>
          <w:color w:val="auto"/>
          <w:sz w:val="24"/>
          <w:highlight w:val="none"/>
          <w:lang w:val="en-US" w:eastAsia="zh-CN"/>
        </w:rPr>
        <w:t xml:space="preserve">姜堰区</w:t>
      </w:r>
      <w:r>
        <w:rPr>
          <w:rFonts w:hint="eastAsia" w:ascii="宋体" w:hAnsi="宋体" w:cs="仿宋"/>
          <w:color w:val="auto"/>
          <w:sz w:val="24"/>
          <w:highlight w:val="none"/>
          <w:lang w:val="zh-CN"/>
        </w:rPr>
        <w:t xml:space="preserve">预算管理一体化系统（预算编制板块）需求规格说明书》《</w:t>
      </w:r>
      <w:r>
        <w:rPr>
          <w:rFonts w:hint="eastAsia" w:ascii="宋体" w:hAnsi="宋体" w:cs="仿宋"/>
          <w:color w:val="auto"/>
          <w:sz w:val="24"/>
          <w:highlight w:val="none"/>
          <w:lang w:val="en-US" w:eastAsia="zh-CN"/>
        </w:rPr>
        <w:t xml:space="preserve">姜堰区</w:t>
      </w:r>
      <w:r>
        <w:rPr>
          <w:rFonts w:hint="eastAsia" w:ascii="宋体" w:hAnsi="宋体" w:cs="仿宋"/>
          <w:color w:val="auto"/>
          <w:sz w:val="24"/>
          <w:highlight w:val="none"/>
          <w:lang w:val="zh-CN"/>
        </w:rPr>
        <w:t xml:space="preserve">预算管理一体化系统（绩效管理板块）需求规格说明书》，提供年度工作和理解，内容包括基础数据整理、基础信息库流程配置、项目库流程配置、预算编制流程配置、绩效流程配置、支出试算配置、报表编制等。</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val="zh-CN"/>
        </w:rPr>
        <w:t xml:space="preserve">（</w:t>
      </w:r>
      <w:r>
        <w:rPr>
          <w:rFonts w:hint="eastAsia" w:ascii="宋体" w:hAnsi="宋体" w:cs="仿宋"/>
          <w:color w:val="auto"/>
          <w:sz w:val="24"/>
          <w:highlight w:val="none"/>
        </w:rPr>
        <w:t xml:space="preserve">4</w:t>
      </w:r>
      <w:r>
        <w:rPr>
          <w:rFonts w:hint="eastAsia" w:ascii="宋体" w:hAnsi="宋体" w:cs="仿宋"/>
          <w:color w:val="auto"/>
          <w:sz w:val="24"/>
          <w:highlight w:val="none"/>
          <w:lang w:val="zh-CN"/>
        </w:rPr>
        <w:t xml:space="preserve">）预算执行板块年度工作理解：供应商结合《</w:t>
      </w:r>
      <w:r>
        <w:rPr>
          <w:rFonts w:hint="eastAsia" w:ascii="宋体" w:hAnsi="宋体" w:cs="仿宋"/>
          <w:color w:val="auto"/>
          <w:sz w:val="24"/>
          <w:highlight w:val="none"/>
          <w:lang w:val="en-US" w:eastAsia="zh-CN"/>
        </w:rPr>
        <w:t xml:space="preserve">姜堰区</w:t>
      </w:r>
      <w:r>
        <w:rPr>
          <w:rFonts w:hint="eastAsia" w:ascii="宋体" w:hAnsi="宋体" w:cs="仿宋"/>
          <w:color w:val="auto"/>
          <w:sz w:val="24"/>
          <w:highlight w:val="none"/>
          <w:lang w:val="zh-CN"/>
        </w:rPr>
        <w:t xml:space="preserve">预算管理一体化系统（预算执行板块）需求规格说明书》，提供年度工作和理解，内容包括基础数据整理、预算调整调剂、预算执行流程配置、会计核算、报表编制等。</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eastAsia="zh-CN"/>
        </w:rPr>
        <w:t xml:space="preserve">2.</w:t>
      </w:r>
      <w:r>
        <w:rPr>
          <w:rFonts w:hint="eastAsia" w:ascii="宋体" w:hAnsi="宋体" w:cs="仿宋"/>
          <w:color w:val="auto"/>
          <w:sz w:val="24"/>
          <w:highlight w:val="none"/>
          <w:lang w:val="zh-CN"/>
        </w:rPr>
        <w:t xml:space="preserve">系统日常维护要求</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val="zh-CN"/>
        </w:rPr>
        <w:t xml:space="preserve">系统日常维护相关工作主要包括：</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（1）</w:t>
      </w:r>
      <w:r>
        <w:rPr>
          <w:rFonts w:hint="eastAsia" w:ascii="宋体" w:hAnsi="宋体" w:cs="仿宋"/>
          <w:color w:val="auto"/>
          <w:sz w:val="24"/>
          <w:highlight w:val="none"/>
          <w:lang w:val="zh-CN"/>
        </w:rPr>
        <w:t xml:space="preserve">提供日常操作业务咨询，修复异常业务操作。</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（2）</w:t>
      </w:r>
      <w:r>
        <w:rPr>
          <w:rFonts w:hint="eastAsia" w:ascii="宋体" w:hAnsi="宋体" w:cs="仿宋"/>
          <w:color w:val="auto"/>
          <w:sz w:val="24"/>
          <w:highlight w:val="none"/>
          <w:lang w:val="zh-CN"/>
        </w:rPr>
        <w:t xml:space="preserve">编制查询报表，以及报表模板调整。</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（3）</w:t>
      </w:r>
      <w:r>
        <w:rPr>
          <w:rFonts w:hint="eastAsia" w:ascii="宋体" w:hAnsi="宋体" w:cs="仿宋"/>
          <w:color w:val="auto"/>
          <w:sz w:val="24"/>
          <w:highlight w:val="none"/>
          <w:lang w:val="zh-CN"/>
        </w:rPr>
        <w:t xml:space="preserve">对系统进行初始化和日常调整、配置工作，如配置系统参数、业务参数、凭单格式、打印设置、计算公式、视图和查询报表等。</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（4）协调省</w:t>
      </w:r>
      <w:r>
        <w:rPr>
          <w:rFonts w:hint="eastAsia" w:ascii="宋体" w:hAnsi="宋体" w:cs="仿宋"/>
          <w:color w:val="auto"/>
          <w:sz w:val="24"/>
          <w:highlight w:val="none"/>
          <w:lang w:val="zh-CN"/>
        </w:rPr>
        <w:t xml:space="preserve">系统</w:t>
      </w:r>
      <w:r>
        <w:rPr>
          <w:rFonts w:hint="eastAsia" w:ascii="宋体" w:hAnsi="宋体" w:cs="仿宋"/>
          <w:color w:val="auto"/>
          <w:sz w:val="24"/>
          <w:highlight w:val="none"/>
        </w:rPr>
        <w:t xml:space="preserve">开发人员进行</w:t>
      </w:r>
      <w:r>
        <w:rPr>
          <w:rFonts w:hint="eastAsia" w:ascii="宋体" w:hAnsi="宋体" w:cs="仿宋"/>
          <w:color w:val="auto"/>
          <w:sz w:val="24"/>
          <w:highlight w:val="none"/>
          <w:lang w:val="zh-CN"/>
        </w:rPr>
        <w:t xml:space="preserve">版本升级、打补丁，调整中间件、插件等相关设置，排除系统运行中出现的故障等。</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（5）</w:t>
      </w:r>
      <w:r>
        <w:rPr>
          <w:rFonts w:hint="eastAsia" w:ascii="宋体" w:hAnsi="宋体" w:cs="仿宋"/>
          <w:color w:val="auto"/>
          <w:sz w:val="24"/>
          <w:highlight w:val="none"/>
          <w:lang w:val="zh-CN"/>
        </w:rPr>
        <w:t xml:space="preserve">收集整理各类系统故障记录，分析具体原因并改进。</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（6）系统省厅服务器端</w:t>
      </w:r>
      <w:r>
        <w:rPr>
          <w:rFonts w:hint="eastAsia" w:ascii="宋体" w:hAnsi="宋体" w:cs="仿宋"/>
          <w:color w:val="auto"/>
          <w:sz w:val="24"/>
          <w:highlight w:val="none"/>
          <w:lang w:val="zh-CN"/>
        </w:rPr>
        <w:t xml:space="preserve">做好系统数据备份服务，确保数据安全性。</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（7）</w:t>
      </w:r>
      <w:r>
        <w:rPr>
          <w:rFonts w:hint="eastAsia" w:ascii="宋体" w:hAnsi="宋体" w:cs="仿宋"/>
          <w:color w:val="auto"/>
          <w:sz w:val="24"/>
          <w:highlight w:val="none"/>
          <w:lang w:val="zh-CN"/>
        </w:rPr>
        <w:t xml:space="preserve">提供系统运行维护文档，包括且不限于用户手册、系统手册、应急预案、故障紧急处理措施等。</w:t>
      </w:r>
      <w:r/>
    </w:p>
    <w:p>
      <w:pPr>
        <w:ind w:firstLine="480"/>
        <w:spacing w:line="360" w:lineRule="auto"/>
        <w:rPr>
          <w:rFonts w:ascii="宋体" w:hAnsi="宋体" w:cs="仿宋"/>
          <w:color w:val="auto"/>
          <w:sz w:val="24"/>
          <w:highlight w:val="none"/>
        </w:rPr>
      </w:pPr>
      <w:r/>
      <w:bookmarkStart w:id="114" w:name="_Toc23416"/>
      <w:r>
        <w:rPr>
          <w:rFonts w:hint="eastAsia" w:ascii="宋体" w:hAnsi="宋体" w:cs="仿宋"/>
          <w:color w:val="auto"/>
          <w:sz w:val="24"/>
          <w:highlight w:val="none"/>
          <w:lang w:eastAsia="zh-CN"/>
        </w:rPr>
        <w:t xml:space="preserve">3.</w:t>
      </w:r>
      <w:r>
        <w:rPr>
          <w:rFonts w:hint="eastAsia" w:ascii="宋体" w:hAnsi="宋体" w:cs="仿宋"/>
          <w:color w:val="auto"/>
          <w:sz w:val="24"/>
          <w:highlight w:val="none"/>
        </w:rPr>
        <w:t xml:space="preserve">系统功能完善</w:t>
      </w:r>
      <w:bookmarkEnd w:id="114"/>
      <w:r/>
      <w:r/>
    </w:p>
    <w:p>
      <w:pPr>
        <w:pStyle w:val="1268"/>
        <w:rPr>
          <w:rFonts w:ascii="宋体" w:hAnsi="宋体" w:cs="仿宋"/>
          <w:color w:val="auto"/>
          <w:highlight w:val="none"/>
        </w:rPr>
      </w:pPr>
      <w:r>
        <w:rPr>
          <w:rFonts w:hint="eastAsia" w:ascii="宋体" w:hAnsi="宋体" w:cs="仿宋"/>
          <w:color w:val="auto"/>
          <w:highlight w:val="none"/>
        </w:rPr>
        <w:t xml:space="preserve">根据</w:t>
      </w:r>
      <w:r>
        <w:rPr>
          <w:rFonts w:hint="eastAsia" w:ascii="宋体" w:hAnsi="宋体" w:cs="仿宋"/>
          <w:color w:val="auto"/>
          <w:highlight w:val="none"/>
          <w:lang w:val="en-US" w:eastAsia="zh-CN"/>
        </w:rPr>
        <w:t xml:space="preserve">姜堰区</w:t>
      </w:r>
      <w:r>
        <w:rPr>
          <w:rFonts w:hint="eastAsia" w:ascii="宋体" w:hAnsi="宋体" w:cs="仿宋"/>
          <w:color w:val="auto"/>
          <w:highlight w:val="none"/>
        </w:rPr>
        <w:t xml:space="preserve">的需求，与省预算管理一体化系统开发、运维团队对接，对省预算管理一体化系统进行功能拓展开发和功能优化，实现更好应用操作友好性。主要包括：</w:t>
      </w:r>
      <w:r/>
    </w:p>
    <w:p>
      <w:pPr>
        <w:pStyle w:val="1269"/>
        <w:ind w:left="0" w:firstLine="480"/>
        <w:rPr>
          <w:rFonts w:cs="仿宋"/>
          <w:color w:val="auto"/>
          <w:szCs w:val="24"/>
          <w:highlight w:val="none"/>
        </w:rPr>
      </w:pPr>
      <w:r>
        <w:rPr>
          <w:rFonts w:hint="eastAsia" w:cs="仿宋"/>
          <w:color w:val="auto"/>
          <w:szCs w:val="24"/>
          <w:highlight w:val="none"/>
        </w:rPr>
        <w:t xml:space="preserve">（1）收集、梳理</w:t>
      </w:r>
      <w:r>
        <w:rPr>
          <w:rFonts w:hint="eastAsia" w:cs="仿宋"/>
          <w:color w:val="auto"/>
          <w:szCs w:val="24"/>
          <w:highlight w:val="none"/>
          <w:lang w:val="en-US" w:eastAsia="zh-CN"/>
        </w:rPr>
        <w:t xml:space="preserve">姜堰区</w:t>
      </w:r>
      <w:r>
        <w:rPr>
          <w:rFonts w:hint="eastAsia" w:cs="仿宋"/>
          <w:color w:val="auto"/>
          <w:szCs w:val="24"/>
          <w:highlight w:val="none"/>
        </w:rPr>
        <w:t xml:space="preserve">财政局优化系统操作的合理需求，积极与省厅开发、运维公司对接；</w:t>
      </w:r>
      <w:r/>
    </w:p>
    <w:p>
      <w:pPr>
        <w:pStyle w:val="1269"/>
        <w:ind w:left="0" w:firstLine="480"/>
        <w:rPr>
          <w:rFonts w:cs="仿宋"/>
          <w:color w:val="auto"/>
          <w:szCs w:val="24"/>
          <w:highlight w:val="none"/>
        </w:rPr>
      </w:pPr>
      <w:r>
        <w:rPr>
          <w:rFonts w:hint="eastAsia" w:cs="仿宋"/>
          <w:color w:val="auto"/>
          <w:szCs w:val="24"/>
          <w:highlight w:val="none"/>
        </w:rPr>
        <w:t xml:space="preserve">（2）根据财政业务管理模式的微调和变更等需求，对接配合软件开发商，进行需求的调研，调整方案的制定，并完成测试及更新上线。</w:t>
      </w:r>
      <w:r/>
    </w:p>
    <w:p>
      <w:pPr>
        <w:pStyle w:val="1269"/>
        <w:ind w:left="0" w:firstLine="480"/>
        <w:rPr>
          <w:rFonts w:cs="仿宋"/>
          <w:color w:val="auto"/>
          <w:szCs w:val="24"/>
          <w:highlight w:val="none"/>
        </w:rPr>
      </w:pPr>
      <w:r>
        <w:rPr>
          <w:rFonts w:hint="eastAsia" w:cs="仿宋"/>
          <w:color w:val="auto"/>
          <w:szCs w:val="24"/>
          <w:highlight w:val="none"/>
        </w:rPr>
        <w:t xml:space="preserve">（3）对系统运行中发现的系统设计缺陷进行收集并与开发厂家沟通。</w:t>
      </w:r>
      <w:r/>
    </w:p>
    <w:p>
      <w:pPr>
        <w:pStyle w:val="1269"/>
        <w:ind w:left="0" w:firstLine="480"/>
        <w:rPr>
          <w:rFonts w:cs="仿宋"/>
          <w:color w:val="auto"/>
          <w:szCs w:val="24"/>
          <w:highlight w:val="none"/>
        </w:rPr>
      </w:pPr>
      <w:r>
        <w:rPr>
          <w:rFonts w:hint="eastAsia" w:cs="仿宋"/>
          <w:color w:val="auto"/>
          <w:szCs w:val="24"/>
          <w:highlight w:val="none"/>
        </w:rPr>
        <w:t xml:space="preserve">（4）根据用户需求，配合软件开发商完成软件性能的优化，提高系统的运行效率。</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eastAsia="zh-CN"/>
        </w:rPr>
        <w:t xml:space="preserve">4.</w:t>
      </w:r>
      <w:r>
        <w:rPr>
          <w:rFonts w:hint="eastAsia" w:ascii="宋体" w:hAnsi="宋体" w:cs="仿宋"/>
          <w:color w:val="auto"/>
          <w:sz w:val="24"/>
          <w:highlight w:val="none"/>
          <w:lang w:val="zh-CN"/>
        </w:rPr>
        <w:t xml:space="preserve">系统培训服务</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val="zh-CN"/>
        </w:rPr>
        <w:t xml:space="preserve">对系统用户提供咨询、操作指导和培训服务。系统培训包括两种：</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eastAsia="zh-CN"/>
        </w:rPr>
        <w:t xml:space="preserve">（</w:t>
      </w:r>
      <w:r>
        <w:rPr>
          <w:rFonts w:hint="eastAsia" w:ascii="宋体" w:hAnsi="宋体" w:cs="仿宋"/>
          <w:color w:val="auto"/>
          <w:sz w:val="24"/>
          <w:highlight w:val="none"/>
          <w:lang w:val="en-US" w:eastAsia="zh-CN"/>
        </w:rPr>
        <w:t xml:space="preserve">1</w:t>
      </w:r>
      <w:r>
        <w:rPr>
          <w:rFonts w:hint="eastAsia" w:ascii="宋体" w:hAnsi="宋体" w:cs="仿宋"/>
          <w:color w:val="auto"/>
          <w:sz w:val="24"/>
          <w:highlight w:val="none"/>
          <w:lang w:eastAsia="zh-CN"/>
        </w:rPr>
        <w:t xml:space="preserve">）</w:t>
      </w:r>
      <w:r>
        <w:rPr>
          <w:rFonts w:hint="eastAsia" w:ascii="宋体" w:hAnsi="宋体" w:cs="仿宋"/>
          <w:color w:val="auto"/>
          <w:sz w:val="24"/>
          <w:highlight w:val="none"/>
          <w:lang w:val="zh-CN"/>
        </w:rPr>
        <w:t xml:space="preserve">最终用户培训：针对预算单位或财政业务人员的操作培训，侧重业务管理与系统的管理操作。不限于集中培训和上门辅导培训服务等方式。</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eastAsia="zh-CN"/>
        </w:rPr>
        <w:t xml:space="preserve">（2）</w:t>
      </w:r>
      <w:r>
        <w:rPr>
          <w:rFonts w:hint="eastAsia" w:ascii="宋体" w:hAnsi="宋体" w:cs="仿宋"/>
          <w:color w:val="auto"/>
          <w:sz w:val="24"/>
          <w:highlight w:val="none"/>
          <w:lang w:val="zh-CN"/>
        </w:rPr>
        <w:t xml:space="preserve">系统管理用户培训：针对系统管理人员的培训，侧重系统管理、配置、维护的培训，包括基础数据管理、用户角色授权、工作流管理、报表管理、银行接口交换中心、安全认证管理等。</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eastAsia="zh-CN"/>
        </w:rPr>
        <w:t xml:space="preserve">5.</w:t>
      </w:r>
      <w:r>
        <w:rPr>
          <w:rFonts w:hint="eastAsia" w:ascii="宋体" w:hAnsi="宋体" w:cs="仿宋"/>
          <w:color w:val="auto"/>
          <w:sz w:val="24"/>
          <w:highlight w:val="none"/>
          <w:lang w:val="zh-CN"/>
        </w:rPr>
        <w:t xml:space="preserve">系统应急服务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提供系统应急服务，主要包括：</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（1）</w:t>
      </w:r>
      <w:r>
        <w:rPr>
          <w:rFonts w:hint="eastAsia" w:ascii="宋体" w:hAnsi="宋体" w:cs="仿宋"/>
          <w:color w:val="auto"/>
          <w:sz w:val="24"/>
          <w:highlight w:val="none"/>
          <w:lang w:val="zh-CN"/>
        </w:rPr>
        <w:t xml:space="preserve">为降低系统运行风险，在系统上线或更新前需提交应急事件处理方案，用于应对系统上线或更新后的问题处理。应急事件处理方案内容包括应急处置范围，应急处置方案风险分析，应急处置验证通过和失败准则，应急处置方法，应急处置问题跟踪策略等。</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rPr>
        <w:t xml:space="preserve">（2）</w:t>
      </w:r>
      <w:r>
        <w:rPr>
          <w:rFonts w:hint="eastAsia" w:ascii="宋体" w:hAnsi="宋体" w:cs="仿宋"/>
          <w:color w:val="auto"/>
          <w:sz w:val="24"/>
          <w:highlight w:val="none"/>
          <w:lang w:val="zh-CN"/>
        </w:rPr>
        <w:t xml:space="preserve">为保障业务高峰期内系统平稳运行，需根据财政业务周期性特点，加大运维保障力度，增加驻场服务，以缓解业务高峰期间的系统压力风险。</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6.</w:t>
      </w:r>
      <w:r>
        <w:rPr>
          <w:rFonts w:hint="eastAsia" w:ascii="宋体" w:hAnsi="宋体" w:cs="仿宋"/>
          <w:color w:val="auto"/>
          <w:sz w:val="24"/>
          <w:highlight w:val="none"/>
        </w:rPr>
        <w:t xml:space="preserve">应用优化服务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年度结转服务，建立新年度帐、年底业务数据调整、数据结转等。基于业务应用的定制优化服务。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7.</w:t>
      </w:r>
      <w:r>
        <w:rPr>
          <w:rFonts w:hint="eastAsia" w:ascii="宋体" w:hAnsi="宋体" w:cs="仿宋"/>
          <w:color w:val="auto"/>
          <w:sz w:val="24"/>
          <w:highlight w:val="none"/>
        </w:rPr>
        <w:t xml:space="preserve">专业增值服务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由于业务的微调，导致软件相关模块功能的调整，需要开发商对软件进行微调；由于业务管理模式的变更，需要开发商对软件进行功能性修改。上述修改在日常维护过程中会经常出现，需要运维公司配合开发商进行需求调研，重新制定流程方案，对软件相关模块进行测试及更新。随着系统使用的时间越来越长，累计的数据也越来越多，会导致系统运行速度变慢，效率变低，需要运维公司定期进行优化，尽量使系统运行效率更高。</w:t>
      </w:r>
      <w:r/>
    </w:p>
    <w:p>
      <w:pPr>
        <w:ind w:firstLine="482"/>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五、运维服务要求</w:t>
      </w:r>
      <w:r/>
    </w:p>
    <w:p>
      <w:pPr>
        <w:ind w:firstLine="480"/>
        <w:spacing w:line="360" w:lineRule="auto"/>
        <w:rPr>
          <w:rFonts w:ascii="宋体" w:hAnsi="宋体" w:cs="仿宋"/>
          <w:color w:val="auto"/>
          <w:sz w:val="24"/>
          <w:highlight w:val="none"/>
          <w:lang w:val="zh-CN"/>
        </w:rPr>
      </w:pPr>
      <w:r>
        <w:rPr>
          <w:rFonts w:hint="eastAsia" w:ascii="宋体" w:hAnsi="宋体" w:cs="仿宋"/>
          <w:color w:val="auto"/>
          <w:sz w:val="24"/>
          <w:highlight w:val="none"/>
          <w:lang w:val="zh-CN"/>
        </w:rPr>
        <w:t xml:space="preserve">（</w:t>
      </w:r>
      <w:r>
        <w:rPr>
          <w:rFonts w:hint="eastAsia" w:ascii="宋体" w:hAnsi="宋体" w:cs="仿宋"/>
          <w:color w:val="auto"/>
          <w:sz w:val="24"/>
          <w:highlight w:val="none"/>
        </w:rPr>
        <w:t xml:space="preserve">一</w:t>
      </w:r>
      <w:r>
        <w:rPr>
          <w:rFonts w:hint="eastAsia" w:ascii="宋体" w:hAnsi="宋体" w:cs="仿宋"/>
          <w:color w:val="auto"/>
          <w:sz w:val="24"/>
          <w:highlight w:val="none"/>
          <w:lang w:val="zh-CN"/>
        </w:rPr>
        <w:t xml:space="preserve">）</w:t>
      </w:r>
      <w:r>
        <w:rPr>
          <w:rFonts w:hint="eastAsia" w:ascii="宋体" w:hAnsi="宋体" w:cs="仿宋"/>
          <w:color w:val="auto"/>
          <w:sz w:val="24"/>
          <w:highlight w:val="none"/>
        </w:rPr>
        <w:t xml:space="preserve">运维</w:t>
      </w:r>
      <w:r>
        <w:rPr>
          <w:rFonts w:hint="eastAsia" w:ascii="宋体" w:hAnsi="宋体" w:cs="仿宋"/>
          <w:color w:val="auto"/>
          <w:sz w:val="24"/>
          <w:highlight w:val="none"/>
          <w:lang w:val="zh-CN"/>
        </w:rPr>
        <w:t xml:space="preserve">服务的工作要求</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运维服务要充分考虑容错、应急、负载等要求，依托运维服务平台，结合严谨的测试管理，以保证系统的高可用性。运维服务模式包括现场支持、电话咨询、Email等。</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1.</w:t>
      </w:r>
      <w:r>
        <w:rPr>
          <w:rFonts w:hint="eastAsia" w:ascii="宋体" w:hAnsi="宋体" w:cs="仿宋"/>
          <w:color w:val="auto"/>
          <w:sz w:val="24"/>
          <w:highlight w:val="none"/>
          <w:lang w:val="zh-CN"/>
        </w:rPr>
        <w:t xml:space="preserve">现场服务：</w:t>
      </w:r>
      <w:r>
        <w:rPr>
          <w:rFonts w:hint="eastAsia" w:ascii="宋体" w:hAnsi="宋体" w:cs="仿宋"/>
          <w:color w:val="auto"/>
          <w:sz w:val="24"/>
          <w:highlight w:val="none"/>
        </w:rPr>
        <w:t xml:space="preserve">运维服务商负责提供服务支持小组7*24小时现场服务。服务工作包括软件使用咨询、软件异常情况处理、数据异常维护、系统缺陷修复、系统迁移、重新安装等服务。并根据用户需要，派技术服务人员到用户现场服务。包括软件使用咨询、软件异常情况处理、软件数据异常的维护等。现场指导用户完成系统操作，对系统的功能操作或用户提出的其他系统问题进行现场讲解，对用户进行系统操作培训等。</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2.</w:t>
      </w:r>
      <w:r>
        <w:rPr>
          <w:rFonts w:hint="eastAsia" w:ascii="宋体" w:hAnsi="宋体" w:cs="仿宋"/>
          <w:color w:val="auto"/>
          <w:sz w:val="24"/>
          <w:highlight w:val="none"/>
          <w:lang w:val="zh-CN"/>
        </w:rPr>
        <w:t xml:space="preserve">电话服务标准：</w:t>
      </w:r>
      <w:r>
        <w:rPr>
          <w:rFonts w:hint="eastAsia" w:ascii="宋体" w:hAnsi="宋体" w:cs="仿宋"/>
          <w:color w:val="auto"/>
          <w:sz w:val="24"/>
          <w:highlight w:val="none"/>
        </w:rPr>
        <w:t xml:space="preserve">运维服务商提供7*24小时电话服务，在日常技术支持服务中，服务团队接听财政用户、预算单位用户的热线电话，详细记录问题并解答用户提出的问题，及时更新对应系统的运维知识库，做好问题跟踪记录。对电话服务要求如下：工作日内实时响应客户电话。非工作日30分钟内回复客户电话。</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3.</w:t>
      </w:r>
      <w:r>
        <w:rPr>
          <w:rFonts w:hint="eastAsia" w:ascii="宋体" w:hAnsi="宋体" w:cs="仿宋"/>
          <w:color w:val="auto"/>
          <w:sz w:val="24"/>
          <w:highlight w:val="none"/>
          <w:lang w:val="zh-CN"/>
        </w:rPr>
        <w:t xml:space="preserve">故障响应标准：</w:t>
      </w:r>
      <w:r>
        <w:rPr>
          <w:rFonts w:hint="eastAsia" w:ascii="宋体" w:hAnsi="宋体" w:cs="仿宋"/>
          <w:color w:val="auto"/>
          <w:sz w:val="24"/>
          <w:highlight w:val="none"/>
        </w:rPr>
        <w:t xml:space="preserve">积极与系统开发运维团队沟通协调，对一般故障，在半小时内响应并在2小时内解决；重大故障在24小时内解决。</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4.</w:t>
      </w:r>
      <w:r>
        <w:rPr>
          <w:rFonts w:hint="eastAsia" w:ascii="宋体" w:hAnsi="宋体" w:cs="仿宋"/>
          <w:color w:val="auto"/>
          <w:sz w:val="24"/>
          <w:highlight w:val="none"/>
          <w:lang w:val="zh-CN"/>
        </w:rPr>
        <w:t xml:space="preserve">服务人员要求：</w:t>
      </w:r>
      <w:r>
        <w:rPr>
          <w:rFonts w:hint="eastAsia" w:ascii="宋体" w:hAnsi="宋体" w:cs="仿宋"/>
          <w:color w:val="auto"/>
          <w:sz w:val="24"/>
          <w:highlight w:val="none"/>
        </w:rPr>
        <w:t xml:space="preserve">为保障运维服务质量，需提供充足的人力资源，组建至少</w:t>
      </w:r>
      <w:r>
        <w:rPr>
          <w:rFonts w:hint="eastAsia" w:ascii="宋体" w:hAnsi="宋体" w:cs="仿宋"/>
          <w:color w:val="auto"/>
          <w:sz w:val="24"/>
          <w:highlight w:val="none"/>
          <w:lang w:val="en-US" w:eastAsia="zh-CN"/>
        </w:rPr>
        <w:t xml:space="preserve">6</w:t>
      </w:r>
      <w:r>
        <w:rPr>
          <w:rFonts w:hint="eastAsia" w:ascii="宋体" w:hAnsi="宋体" w:cs="仿宋"/>
          <w:color w:val="auto"/>
          <w:sz w:val="24"/>
          <w:highlight w:val="none"/>
        </w:rPr>
        <w:t xml:space="preserve">人的服务团队，其中</w:t>
      </w:r>
      <w:r>
        <w:rPr>
          <w:rFonts w:hint="eastAsia" w:ascii="宋体" w:hAnsi="宋体" w:cs="仿宋"/>
          <w:color w:val="auto"/>
          <w:sz w:val="24"/>
          <w:highlight w:val="none"/>
          <w:lang w:val="en-US" w:eastAsia="zh-CN"/>
        </w:rPr>
        <w:t xml:space="preserve">区</w:t>
      </w:r>
      <w:r>
        <w:rPr>
          <w:rFonts w:hint="eastAsia" w:ascii="宋体" w:hAnsi="宋体" w:cs="仿宋"/>
          <w:color w:val="auto"/>
          <w:sz w:val="24"/>
          <w:highlight w:val="none"/>
        </w:rPr>
        <w:t xml:space="preserve">本级</w:t>
      </w:r>
      <w:r>
        <w:rPr>
          <w:rFonts w:hint="eastAsia" w:ascii="宋体" w:hAnsi="宋体" w:cs="仿宋"/>
          <w:color w:val="auto"/>
          <w:sz w:val="24"/>
          <w:highlight w:val="none"/>
          <w:lang w:val="en-US" w:eastAsia="zh-CN"/>
        </w:rPr>
        <w:t xml:space="preserve">及乡镇</w:t>
      </w:r>
      <w:r>
        <w:rPr>
          <w:rFonts w:hint="eastAsia" w:ascii="宋体" w:hAnsi="宋体" w:cs="仿宋"/>
          <w:color w:val="auto"/>
          <w:sz w:val="24"/>
          <w:highlight w:val="none"/>
        </w:rPr>
        <w:t xml:space="preserve">一体化运维本地驻场运维人员</w:t>
      </w:r>
      <w:r>
        <w:rPr>
          <w:rFonts w:hint="eastAsia" w:ascii="宋体" w:hAnsi="宋体" w:cs="仿宋"/>
          <w:b/>
          <w:bCs/>
          <w:color w:val="auto"/>
          <w:sz w:val="24"/>
          <w:highlight w:val="none"/>
        </w:rPr>
        <w:t xml:space="preserve">不少于</w:t>
      </w:r>
      <w:r>
        <w:rPr>
          <w:rFonts w:hint="eastAsia" w:ascii="宋体" w:hAnsi="宋体" w:cs="仿宋"/>
          <w:b/>
          <w:bCs/>
          <w:color w:val="auto"/>
          <w:sz w:val="24"/>
          <w:highlight w:val="none"/>
          <w:lang w:val="en-US" w:eastAsia="zh-CN"/>
        </w:rPr>
        <w:t xml:space="preserve">3</w:t>
      </w:r>
      <w:r>
        <w:rPr>
          <w:rFonts w:hint="eastAsia" w:ascii="宋体" w:hAnsi="宋体" w:cs="仿宋"/>
          <w:b/>
          <w:bCs/>
          <w:color w:val="auto"/>
          <w:sz w:val="24"/>
          <w:highlight w:val="none"/>
        </w:rPr>
        <w:t xml:space="preserve">人</w:t>
      </w:r>
      <w:r>
        <w:rPr>
          <w:rFonts w:hint="eastAsia" w:ascii="宋体" w:hAnsi="宋体" w:cs="仿宋"/>
          <w:color w:val="auto"/>
          <w:sz w:val="24"/>
          <w:highlight w:val="none"/>
        </w:rPr>
        <w:t xml:space="preserve">。并设计人力资源保障解决方案，要求服务人员配备充足、分工合理，计划科学。驻场服务人员在</w:t>
      </w:r>
      <w:r>
        <w:rPr>
          <w:rFonts w:hint="eastAsia" w:ascii="宋体" w:hAnsi="宋体" w:cs="仿宋"/>
          <w:color w:val="auto"/>
          <w:sz w:val="24"/>
          <w:highlight w:val="none"/>
          <w:lang w:val="en-US" w:eastAsia="zh-CN"/>
        </w:rPr>
        <w:t xml:space="preserve">姜堰区</w:t>
      </w:r>
      <w:r>
        <w:rPr>
          <w:rFonts w:hint="eastAsia" w:ascii="宋体" w:hAnsi="宋体" w:cs="仿宋"/>
          <w:color w:val="auto"/>
          <w:sz w:val="24"/>
          <w:highlight w:val="none"/>
        </w:rPr>
        <w:t xml:space="preserve">财政局的统一领导下开展运维服务工作。</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服务人员能力要求：参与本地维护的技术人员必须具有承担过财政一体化</w:t>
      </w:r>
      <w:r>
        <w:rPr>
          <w:rFonts w:hint="eastAsia" w:ascii="宋体" w:hAnsi="宋体" w:cs="仿宋"/>
          <w:color w:val="auto"/>
          <w:sz w:val="24"/>
          <w:highlight w:val="none"/>
          <w:lang w:eastAsia="zh-CN"/>
        </w:rPr>
        <w:t xml:space="preserve">系统</w:t>
      </w:r>
      <w:r>
        <w:rPr>
          <w:rFonts w:hint="eastAsia" w:ascii="宋体" w:hAnsi="宋体" w:cs="仿宋"/>
          <w:color w:val="auto"/>
          <w:sz w:val="24"/>
          <w:highlight w:val="none"/>
        </w:rPr>
        <w:t xml:space="preserve">的业务经验（</w:t>
      </w:r>
      <w:r>
        <w:rPr>
          <w:rFonts w:hint="eastAsia" w:ascii="宋体" w:hAnsi="宋体" w:cs="仿宋"/>
          <w:color w:val="auto"/>
          <w:sz w:val="24"/>
          <w:highlight w:val="none"/>
          <w:lang w:eastAsia="zh-CN"/>
        </w:rPr>
        <w:t xml:space="preserve">至少3年</w:t>
      </w:r>
      <w:r>
        <w:rPr>
          <w:rFonts w:hint="eastAsia" w:ascii="宋体" w:hAnsi="宋体" w:cs="仿宋"/>
          <w:color w:val="auto"/>
          <w:sz w:val="24"/>
          <w:highlight w:val="none"/>
        </w:rPr>
        <w:t xml:space="preserve">），能够与用户进行良好沟通，具备相关产品维护能力。</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培训：为持续提升运维服务人员服务管理水平及业务技能，供应商应遵照采购人的培训计划及要求，按时参加由采购人指定的系统相关的信息技术及项目管理的培训，供应商承担由此发生的与供应商驻场服务人员的相关费用。</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人员变更：供应商保证项目经理和驻场服务人员的稳定，响应文件中指定的项目经理及驻场服务人员必须与合同中的人员一致，不得擅自更换项目经理及驻场服务人员，擅自更换项目经理及驻场服务人员的视为供应商主动终止合同，并承担相应责任。如确实因特殊原因需更换项目经理及驻场服务人员，供应商应提前1个月向财政局报备确认后方可变更。</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（二）安全保障及保密要求</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1.</w:t>
      </w:r>
      <w:r>
        <w:rPr>
          <w:rFonts w:hint="eastAsia" w:ascii="宋体" w:hAnsi="宋体" w:cs="仿宋"/>
          <w:color w:val="auto"/>
          <w:sz w:val="24"/>
          <w:highlight w:val="none"/>
        </w:rPr>
        <w:t xml:space="preserve">安全运维管理要求。供应商必须规范日常的安全操作，符合财政部总体安全策略，通过运维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2.</w:t>
      </w:r>
      <w:r>
        <w:rPr>
          <w:rFonts w:hint="eastAsia" w:ascii="宋体" w:hAnsi="宋体" w:cs="仿宋"/>
          <w:color w:val="auto"/>
          <w:sz w:val="24"/>
          <w:highlight w:val="none"/>
        </w:rPr>
        <w:t xml:space="preserve">技术安全防护要求。规范管理信息化设备的安全维护；根据工作所需设置最小访问权限；禁止将系统管理员权限授予其他人员；禁止绕过运维安全审计系统对基础软件进行远程维护；严格控制运维工具的使用，经过采购人审核后才可接入财政网 络进行操作；规范财政网络和信息系统软硬件的配置管理，信息系统配置、升级或改造等方面的变更按照审批流程操作。因运维人员配置错误、操作错误，造成系统、设备、资金损失，追究相关公司责任。</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3.</w:t>
      </w:r>
      <w:r>
        <w:rPr>
          <w:rFonts w:hint="eastAsia" w:ascii="宋体" w:hAnsi="宋体" w:cs="仿宋"/>
          <w:color w:val="auto"/>
          <w:sz w:val="24"/>
          <w:highlight w:val="none"/>
        </w:rPr>
        <w:t xml:space="preserve">信息保密要求。供应商承诺对采购人提供的内部资料、数据和信息予以保密。未经采购人书面许可，不许以任何形式向第三方透露。成交供应商应与驻场运维服务人员签订保密协议，督促运维服务人员严格遵守保密规定。</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（三）项目管理要求</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1.</w:t>
      </w:r>
      <w:r>
        <w:rPr>
          <w:rFonts w:hint="eastAsia" w:ascii="宋体" w:hAnsi="宋体" w:cs="仿宋"/>
          <w:color w:val="auto"/>
          <w:sz w:val="24"/>
          <w:highlight w:val="none"/>
        </w:rPr>
        <w:t xml:space="preserve">供应商必须成立合理的维护团队，建立健全保障项目维护的各项管理制度和质量保证体系。</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2.</w:t>
      </w:r>
      <w:r>
        <w:rPr>
          <w:rFonts w:hint="eastAsia" w:ascii="宋体" w:hAnsi="宋体" w:cs="仿宋"/>
          <w:color w:val="auto"/>
          <w:sz w:val="24"/>
          <w:highlight w:val="none"/>
        </w:rPr>
        <w:t xml:space="preserve">供应商必须指定专职于本地维护的人员，配置相应的项目维护、系统分析、开发、测试、集成、培训、质量保证等人员，保证有足够的高素质人员参加本地维护。</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eastAsia="zh-CN"/>
        </w:rPr>
        <w:t xml:space="preserve">3.</w:t>
      </w:r>
      <w:r>
        <w:rPr>
          <w:rFonts w:hint="eastAsia" w:ascii="宋体" w:hAnsi="宋体" w:cs="仿宋"/>
          <w:color w:val="auto"/>
          <w:sz w:val="24"/>
          <w:highlight w:val="none"/>
        </w:rPr>
        <w:t xml:space="preserve">供应商应对上述内容列出详细人员计划，包括人员姓名、经验、学历和在维护中的职责分工等。</w:t>
      </w:r>
      <w:r/>
    </w:p>
    <w:p>
      <w:pPr>
        <w:ind w:firstLine="480"/>
        <w:spacing w:line="360" w:lineRule="auto"/>
        <w:rPr>
          <w:color w:val="auto"/>
          <w:highlight w:val="none"/>
        </w:rPr>
      </w:pPr>
      <w:r>
        <w:rPr>
          <w:rFonts w:hint="eastAsia" w:ascii="宋体" w:hAnsi="宋体" w:cs="仿宋"/>
          <w:color w:val="auto"/>
          <w:sz w:val="24"/>
          <w:highlight w:val="none"/>
          <w:lang w:eastAsia="zh-CN"/>
        </w:rPr>
        <w:t xml:space="preserve">4.</w:t>
      </w:r>
      <w:r>
        <w:rPr>
          <w:rFonts w:hint="eastAsia" w:ascii="宋体" w:hAnsi="宋体" w:cs="仿宋"/>
          <w:color w:val="auto"/>
          <w:sz w:val="24"/>
          <w:highlight w:val="none"/>
        </w:rPr>
        <w:t xml:space="preserve">供应商应根据维护的具体内容和要求，向采购人提交切实可行的维护工作方案。</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（四）服务质量</w:t>
      </w:r>
      <w:r>
        <w:rPr>
          <w:rFonts w:ascii="宋体" w:hAnsi="宋体" w:cs="仿宋"/>
          <w:color w:val="auto"/>
          <w:sz w:val="24"/>
          <w:highlight w:val="none"/>
        </w:rPr>
        <w:t xml:space="preserve">考核</w:t>
      </w:r>
      <w:r/>
    </w:p>
    <w:p>
      <w:pPr>
        <w:ind w:firstLine="480"/>
        <w:spacing w:line="360" w:lineRule="auto"/>
        <w:rPr>
          <w:rFonts w:ascii="宋体" w:hAnsi="宋体" w:cs="仿宋"/>
          <w:color w:val="auto"/>
          <w:sz w:val="24"/>
          <w:highlight w:val="none"/>
        </w:rPr>
      </w:pPr>
      <w:r>
        <w:rPr>
          <w:rFonts w:ascii="宋体" w:hAnsi="宋体" w:cs="仿宋"/>
          <w:color w:val="auto"/>
          <w:sz w:val="24"/>
          <w:highlight w:val="none"/>
        </w:rPr>
        <w:t xml:space="preserve">中标供应商需保障采购人该项目涉及的财政信息系统安全平稳运行，高质量满足系统使用者的运维需求。</w:t>
      </w:r>
      <w:r/>
    </w:p>
    <w:p>
      <w:pPr>
        <w:ind w:firstLine="482"/>
        <w:spacing w:line="360" w:lineRule="auto"/>
        <w:rPr>
          <w:rFonts w:ascii="宋体" w:hAnsi="宋体" w:cs="仿宋"/>
          <w:b/>
          <w:bCs/>
          <w:color w:val="auto"/>
          <w:sz w:val="24"/>
          <w:highlight w:val="none"/>
          <w:lang w:val="zh-CN"/>
        </w:rPr>
      </w:pPr>
      <w:r>
        <w:rPr>
          <w:rFonts w:hint="eastAsia" w:ascii="宋体" w:hAnsi="宋体" w:cs="仿宋"/>
          <w:b/>
          <w:bCs/>
          <w:color w:val="auto"/>
          <w:sz w:val="24"/>
          <w:highlight w:val="none"/>
        </w:rPr>
        <w:t xml:space="preserve">六</w:t>
      </w:r>
      <w:r>
        <w:rPr>
          <w:rFonts w:hint="eastAsia" w:ascii="宋体" w:hAnsi="宋体" w:cs="仿宋"/>
          <w:b/>
          <w:bCs/>
          <w:color w:val="auto"/>
          <w:sz w:val="24"/>
          <w:highlight w:val="none"/>
          <w:lang w:val="zh-CN"/>
        </w:rPr>
        <w:t xml:space="preserve">、</w:t>
      </w:r>
      <w:r>
        <w:rPr>
          <w:rFonts w:hint="eastAsia" w:ascii="宋体" w:hAnsi="宋体" w:cs="仿宋"/>
          <w:b/>
          <w:bCs/>
          <w:color w:val="auto"/>
          <w:sz w:val="24"/>
          <w:highlight w:val="none"/>
        </w:rPr>
        <w:t xml:space="preserve">服务时间和地点</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lang w:val="zh-CN"/>
        </w:rPr>
        <w:t xml:space="preserve">（一）</w:t>
      </w:r>
      <w:r>
        <w:rPr>
          <w:rFonts w:hint="eastAsia" w:ascii="宋体" w:hAnsi="宋体" w:cs="仿宋"/>
          <w:color w:val="auto"/>
          <w:sz w:val="24"/>
          <w:highlight w:val="none"/>
        </w:rPr>
        <w:t xml:space="preserve">服务时间</w:t>
      </w:r>
      <w:r/>
    </w:p>
    <w:p>
      <w:pPr>
        <w:ind w:firstLine="600"/>
        <w:spacing w:line="360" w:lineRule="auto"/>
        <w:rPr>
          <w:rFonts w:ascii="宋体" w:hAnsi="宋体" w:cs="仿宋"/>
          <w:color w:val="auto"/>
          <w:sz w:val="24"/>
          <w:highlight w:val="none"/>
        </w:rPr>
      </w:pPr>
      <w:r>
        <w:rPr>
          <w:rFonts w:hint="eastAsia" w:ascii="宋体" w:hAnsi="宋体" w:cs="仿宋"/>
          <w:color w:val="auto"/>
          <w:sz w:val="24"/>
          <w:highlight w:val="none"/>
          <w:lang w:val="en-US" w:eastAsia="zh-CN"/>
        </w:rPr>
        <w:t xml:space="preserve">2026年1月1日</w:t>
      </w:r>
      <w:r>
        <w:rPr>
          <w:rFonts w:hint="eastAsia" w:ascii="宋体" w:hAnsi="宋体" w:cs="仿宋"/>
          <w:color w:val="auto"/>
          <w:sz w:val="24"/>
          <w:highlight w:val="none"/>
        </w:rPr>
        <w:t xml:space="preserve">至</w:t>
      </w:r>
      <w:r>
        <w:rPr>
          <w:rFonts w:ascii="宋体" w:hAnsi="宋体" w:cs="仿宋"/>
          <w:color w:val="auto"/>
          <w:sz w:val="24"/>
          <w:highlight w:val="none"/>
        </w:rPr>
        <w:t xml:space="preserve">202</w:t>
      </w:r>
      <w:r>
        <w:rPr>
          <w:rFonts w:hint="eastAsia" w:ascii="宋体" w:hAnsi="宋体" w:cs="仿宋"/>
          <w:color w:val="auto"/>
          <w:sz w:val="24"/>
          <w:highlight w:val="none"/>
          <w:lang w:val="en-US" w:eastAsia="zh-CN"/>
        </w:rPr>
        <w:t xml:space="preserve">6</w:t>
      </w:r>
      <w:r>
        <w:rPr>
          <w:rFonts w:ascii="宋体" w:hAnsi="宋体" w:cs="仿宋"/>
          <w:color w:val="auto"/>
          <w:sz w:val="24"/>
          <w:highlight w:val="none"/>
        </w:rPr>
        <w:t xml:space="preserve">年12</w:t>
      </w:r>
      <w:r>
        <w:rPr>
          <w:rFonts w:hint="eastAsia" w:ascii="宋体" w:hAnsi="宋体" w:cs="仿宋"/>
          <w:color w:val="auto"/>
          <w:sz w:val="24"/>
          <w:highlight w:val="none"/>
        </w:rPr>
        <w:t xml:space="preserve">月</w:t>
      </w:r>
      <w:r>
        <w:rPr>
          <w:rFonts w:hint="eastAsia" w:ascii="宋体" w:hAnsi="宋体" w:cs="仿宋"/>
          <w:color w:val="auto"/>
          <w:sz w:val="24"/>
          <w:highlight w:val="none"/>
          <w:lang w:val="en-US" w:eastAsia="zh-CN"/>
        </w:rPr>
        <w:t xml:space="preserve">31日</w:t>
      </w:r>
      <w:r>
        <w:rPr>
          <w:rFonts w:hint="eastAsia" w:ascii="宋体" w:hAnsi="宋体" w:cs="仿宋"/>
          <w:color w:val="auto"/>
          <w:sz w:val="24"/>
          <w:highlight w:val="none"/>
        </w:rPr>
        <w:t xml:space="preserve">。</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（二）服务地点</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     采购人负责安排场地。</w:t>
      </w:r>
      <w:r/>
    </w:p>
    <w:p>
      <w:pPr>
        <w:ind w:firstLine="482"/>
        <w:spacing w:line="360" w:lineRule="auto"/>
        <w:rPr>
          <w:rFonts w:ascii="宋体" w:hAnsi="宋体" w:cs="仿宋"/>
          <w:b/>
          <w:bCs/>
          <w:color w:val="auto"/>
          <w:sz w:val="24"/>
          <w:highlight w:val="none"/>
        </w:rPr>
      </w:pPr>
      <w:r>
        <w:rPr>
          <w:rFonts w:hint="eastAsia" w:ascii="宋体" w:hAnsi="宋体" w:cs="仿宋"/>
          <w:b/>
          <w:bCs/>
          <w:color w:val="auto"/>
          <w:sz w:val="24"/>
          <w:highlight w:val="none"/>
        </w:rPr>
        <w:t xml:space="preserve">七、</w:t>
      </w:r>
      <w:r>
        <w:rPr>
          <w:rFonts w:hint="eastAsia" w:ascii="宋体" w:hAnsi="宋体" w:cs="仿宋"/>
          <w:b/>
          <w:bCs/>
          <w:color w:val="auto"/>
          <w:sz w:val="24"/>
          <w:highlight w:val="none"/>
          <w:lang w:val="zh-CN"/>
        </w:rPr>
        <w:t xml:space="preserve">付款</w:t>
      </w:r>
      <w:r>
        <w:rPr>
          <w:rFonts w:hint="eastAsia" w:ascii="宋体" w:hAnsi="宋体" w:cs="仿宋"/>
          <w:b/>
          <w:bCs/>
          <w:color w:val="auto"/>
          <w:sz w:val="24"/>
          <w:highlight w:val="none"/>
        </w:rPr>
        <w:t xml:space="preserve">方式</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合同签订后30日内支付</w:t>
      </w:r>
      <w:r>
        <w:rPr>
          <w:rFonts w:hint="eastAsia" w:ascii="宋体" w:hAnsi="宋体" w:cs="仿宋"/>
          <w:color w:val="auto"/>
          <w:sz w:val="24"/>
          <w:highlight w:val="none"/>
          <w:lang w:val="en-US" w:eastAsia="zh-CN"/>
        </w:rPr>
        <w:t xml:space="preserve">5</w:t>
      </w:r>
      <w:r>
        <w:rPr>
          <w:rFonts w:hint="eastAsia" w:ascii="宋体" w:hAnsi="宋体" w:cs="仿宋"/>
          <w:color w:val="auto"/>
          <w:sz w:val="24"/>
          <w:highlight w:val="none"/>
        </w:rPr>
        <w:t xml:space="preserve">0%合同款，202</w:t>
      </w:r>
      <w:r>
        <w:rPr>
          <w:rFonts w:hint="eastAsia" w:ascii="宋体" w:hAnsi="宋体" w:cs="仿宋"/>
          <w:color w:val="auto"/>
          <w:sz w:val="24"/>
          <w:highlight w:val="none"/>
          <w:lang w:val="en-US" w:eastAsia="zh-CN"/>
        </w:rPr>
        <w:t xml:space="preserve">6</w:t>
      </w:r>
      <w:r>
        <w:rPr>
          <w:rFonts w:hint="eastAsia" w:ascii="宋体" w:hAnsi="宋体" w:cs="仿宋"/>
          <w:color w:val="auto"/>
          <w:sz w:val="24"/>
          <w:highlight w:val="none"/>
        </w:rPr>
        <w:t xml:space="preserve">年</w:t>
      </w:r>
      <w:r>
        <w:rPr>
          <w:rFonts w:hint="eastAsia" w:ascii="宋体" w:hAnsi="宋体" w:cs="仿宋"/>
          <w:color w:val="auto"/>
          <w:sz w:val="24"/>
          <w:highlight w:val="none"/>
          <w:lang w:val="en-US" w:eastAsia="zh-CN"/>
        </w:rPr>
        <w:t xml:space="preserve">12</w:t>
      </w:r>
      <w:r>
        <w:rPr>
          <w:rFonts w:hint="eastAsia" w:ascii="宋体" w:hAnsi="宋体" w:cs="仿宋"/>
          <w:color w:val="auto"/>
          <w:sz w:val="24"/>
          <w:highlight w:val="none"/>
        </w:rPr>
        <w:t xml:space="preserve">月份支付</w:t>
      </w:r>
      <w:r>
        <w:rPr>
          <w:rFonts w:hint="eastAsia" w:ascii="宋体" w:hAnsi="宋体" w:cs="仿宋"/>
          <w:color w:val="auto"/>
          <w:sz w:val="24"/>
          <w:highlight w:val="none"/>
          <w:lang w:val="en-US" w:eastAsia="zh-CN"/>
        </w:rPr>
        <w:t xml:space="preserve">5</w:t>
      </w:r>
      <w:r>
        <w:rPr>
          <w:rFonts w:hint="eastAsia" w:ascii="宋体" w:hAnsi="宋体" w:cs="仿宋"/>
          <w:color w:val="auto"/>
          <w:sz w:val="24"/>
          <w:highlight w:val="none"/>
        </w:rPr>
        <w:t xml:space="preserve">0%合同款。</w:t>
      </w:r>
      <w:r/>
    </w:p>
    <w:p>
      <w:pPr>
        <w:rPr>
          <w:color w:val="auto"/>
          <w:highlight w:val="none"/>
        </w:rPr>
      </w:pPr>
      <w:r>
        <w:rPr>
          <w:color w:val="auto"/>
          <w:highlight w:val="none"/>
        </w:rPr>
      </w:r>
      <w:r/>
    </w:p>
    <w:p>
      <w:pPr>
        <w:rPr>
          <w:color w:val="auto"/>
          <w:highlight w:val="none"/>
        </w:rPr>
      </w:pPr>
      <w:r>
        <w:rPr>
          <w:color w:val="auto"/>
          <w:highlight w:val="none"/>
        </w:rPr>
      </w:r>
      <w:r/>
    </w:p>
    <w:p>
      <w:pPr>
        <w:ind w:right="25"/>
        <w:jc w:val="both"/>
        <w:spacing w:before="26" w:line="360" w:lineRule="auto"/>
        <w:rPr>
          <w:b/>
          <w:bCs/>
          <w:color w:val="auto"/>
          <w:sz w:val="32"/>
          <w:szCs w:val="32"/>
          <w:highlight w:val="none"/>
        </w:rPr>
      </w:pPr>
      <w:r/>
      <w:bookmarkStart w:id="115" w:name="_Toc10158"/>
      <w:r/>
      <w:r/>
    </w:p>
    <w:p>
      <w:pPr>
        <w:ind w:right="25"/>
        <w:jc w:val="center"/>
        <w:spacing w:before="26" w:line="360" w:lineRule="auto"/>
        <w:rPr>
          <w:b/>
          <w:bCs/>
          <w:color w:val="auto"/>
          <w:sz w:val="32"/>
          <w:szCs w:val="32"/>
          <w:highlight w:val="none"/>
        </w:rPr>
      </w:pPr>
      <w:r>
        <w:rPr>
          <w:b/>
          <w:bCs/>
          <w:color w:val="auto"/>
          <w:sz w:val="32"/>
          <w:szCs w:val="32"/>
          <w:highlight w:val="none"/>
        </w:rPr>
        <w:t xml:space="preserve">第五章 评审方法和评审标准</w:t>
      </w:r>
      <w:bookmarkEnd w:id="115"/>
      <w:r/>
      <w:r/>
    </w:p>
    <w:p>
      <w:pPr>
        <w:ind w:firstLine="482"/>
        <w:spacing w:line="440" w:lineRule="exact"/>
        <w:rPr>
          <w:rFonts w:ascii="宋体" w:hAnsi="宋体" w:cs="宋体"/>
          <w:b/>
          <w:bCs/>
          <w:color w:val="auto"/>
          <w:sz w:val="24"/>
          <w:highlight w:val="none"/>
        </w:rPr>
      </w:pPr>
      <w:r/>
      <w:bookmarkStart w:id="116" w:name="_Toc31610"/>
      <w:r>
        <w:rPr>
          <w:rFonts w:hint="eastAsia" w:ascii="宋体" w:hAnsi="宋体" w:cs="宋体"/>
          <w:b/>
          <w:bCs/>
          <w:color w:val="auto"/>
          <w:sz w:val="24"/>
          <w:highlight w:val="none"/>
        </w:rPr>
        <w:t xml:space="preserve">一、评审方法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1.评审方法采用综合评分法，总分值为100分。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2.评审时，对每个有效投标供应商的投标响应文件进行评分，对评委的评分进行统计汇总，按算术平均方法计算出每个投标供应商的评审得分。（分值保留小数点后2位）</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3.评标结果按评审后得分由高到低顺序排列。得分相同的，按投标报价由低到高顺序排列。得分且投标报价相同的</w:t>
      </w:r>
      <w:r>
        <w:rPr>
          <w:rFonts w:hint="eastAsia"/>
          <w:color w:val="auto"/>
          <w:sz w:val="24"/>
          <w:highlight w:val="none"/>
        </w:rPr>
        <w:t xml:space="preserve">按照技术指标优劣顺序推荐</w:t>
      </w:r>
      <w:r>
        <w:rPr>
          <w:rFonts w:hint="eastAsia" w:ascii="宋体" w:hAnsi="宋体" w:cs="宋体"/>
          <w:color w:val="auto"/>
          <w:sz w:val="24"/>
          <w:highlight w:val="none"/>
        </w:rPr>
        <w:t xml:space="preserve">。投标文件满足</w:t>
      </w:r>
      <w:r>
        <w:rPr>
          <w:rFonts w:hint="eastAsia"/>
          <w:color w:val="auto"/>
          <w:sz w:val="24"/>
          <w:highlight w:val="none"/>
        </w:rPr>
        <w:t xml:space="preserve">磋商</w:t>
      </w:r>
      <w:r>
        <w:rPr>
          <w:rFonts w:hint="eastAsia" w:ascii="宋体" w:hAnsi="宋体" w:cs="宋体"/>
          <w:color w:val="auto"/>
          <w:sz w:val="24"/>
          <w:highlight w:val="none"/>
        </w:rPr>
        <w:t xml:space="preserve">文件全部实质性要求，且按照评审因素的量化指标评审得分最高的投标供应商为成交供应商。如上述因素均相同，则采用抽签方式确定成交候选顺序。</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二、评分标准（总分100分）</w:t>
      </w:r>
      <w:r/>
    </w:p>
    <w:tbl>
      <w:tblPr>
        <w:tblStyle w:val="1219"/>
        <w:tblW w:w="9018" w:type="dxa"/>
        <w:tblInd w:w="93" w:type="dxa"/>
        <w:tblLayout w:type="fixed"/>
        <w:tblCellMar>
          <w:left w:w="108" w:type="dxa"/>
          <w:top w:w="0" w:type="dxa"/>
          <w:right w:w="108" w:type="dxa"/>
          <w:bottom w:w="0" w:type="dxa"/>
        </w:tblCellMar>
        <w:tblLook w:val="04A0" w:firstRow="1" w:lastRow="0" w:firstColumn="1" w:lastColumn="0" w:noHBand="0" w:noVBand="1"/>
      </w:tblPr>
      <w:tblGrid>
        <w:gridCol w:w="1218"/>
        <w:gridCol w:w="6735"/>
        <w:gridCol w:w="1065"/>
      </w:tblGrid>
      <w:tr>
        <w:trPr>
          <w:trHeight w:val="993"/>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b/>
                <w:bCs/>
                <w:color w:val="auto"/>
                <w:sz w:val="24"/>
                <w:szCs w:val="24"/>
                <w:highlight w:val="none"/>
              </w:rPr>
              <w:t xml:space="preserve">评分点</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b/>
                <w:bCs/>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b/>
                <w:bCs/>
                <w:color w:val="auto"/>
                <w:sz w:val="24"/>
                <w:szCs w:val="24"/>
                <w:highlight w:val="none"/>
              </w:rPr>
              <w:t xml:space="preserve">分值</w:t>
            </w:r>
            <w:r/>
          </w:p>
        </w:tc>
      </w:tr>
      <w:tr>
        <w:trPr>
          <w:trHeight w:val="1376"/>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价格分</w:t>
            </w:r>
            <w:r>
              <w:rPr>
                <w:b w:val="0"/>
                <w:bCs w:val="0"/>
              </w:rPr>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价格分采用低价优先法计算，即满足磋商文件要求且最终报价最低的为评标基准价，其价格分为满分。其他供应商的价格分统一按照下列公式计算（小数点保留两位）：报价得分=(评标基准价／最终报价)×</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0分</w:t>
            </w:r>
            <w:r/>
          </w:p>
        </w:tc>
      </w:tr>
      <w:tr>
        <w:trPr>
          <w:trHeight w:val="829"/>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b w:val="0"/>
                <w:bCs w:val="0"/>
                <w:color w:val="auto"/>
                <w:sz w:val="24"/>
                <w:szCs w:val="24"/>
                <w:highlight w:val="none"/>
              </w:rPr>
              <w:t xml:space="preserve">企业综合实力</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1.企业实力</w:t>
            </w:r>
            <w:r/>
          </w:p>
          <w:p>
            <w:pPr>
              <w:jc w:val="left"/>
              <w:spacing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（1）具有ISO</w:t>
            </w:r>
            <w:r>
              <w:rPr>
                <w:rFonts w:hint="eastAsia" w:ascii="宋体" w:hAnsi="宋体" w:cs="宋体"/>
                <w:color w:val="auto"/>
                <w:sz w:val="24"/>
                <w:szCs w:val="24"/>
                <w:highlight w:val="none"/>
                <w:lang w:val="en-US" w:eastAsia="zh-CN"/>
                <w14:ligatures w14:val="none"/>
              </w:rPr>
              <w:t xml:space="preserve">9</w:t>
            </w:r>
            <w:r>
              <w:rPr>
                <w:rFonts w:hint="eastAsia" w:ascii="宋体" w:hAnsi="宋体" w:eastAsia="宋体" w:cs="宋体"/>
                <w:color w:val="auto"/>
                <w:sz w:val="24"/>
                <w:szCs w:val="24"/>
                <w:highlight w:val="none"/>
                <w14:ligatures w14:val="none"/>
              </w:rPr>
              <w:t xml:space="preserve">001质量管理体系认证证书</w:t>
            </w:r>
            <w:r>
              <w:rPr>
                <w:rFonts w:hint="eastAsia" w:ascii="宋体" w:hAnsi="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得</w:t>
            </w:r>
            <w:r>
              <w:rPr>
                <w:rFonts w:hint="eastAsia" w:ascii="宋体" w:hAnsi="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14:ligatures w14:val="none"/>
              </w:rPr>
              <w:t xml:space="preserve">分</w:t>
            </w:r>
            <w:r/>
          </w:p>
          <w:p>
            <w:pPr>
              <w:jc w:val="left"/>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14:ligatures w14:val="none"/>
              </w:rPr>
              <w:t xml:space="preserve">（2）具有ISO45001职业健康安全管理体系认证证书,得</w:t>
            </w:r>
            <w:r>
              <w:rPr>
                <w:rFonts w:hint="eastAsia" w:ascii="宋体" w:hAnsi="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14:ligatures w14:val="none"/>
              </w:rPr>
              <w:t xml:space="preserve">分。</w:t>
            </w:r>
            <w:r>
              <w:rPr>
                <w:rFonts w:hint="eastAsia" w:ascii="宋体" w:hAnsi="宋体" w:eastAsia="宋体" w:cs="宋体"/>
                <w:color w:val="auto"/>
                <w:sz w:val="24"/>
                <w:szCs w:val="24"/>
                <w:highlight w:val="none"/>
                <w14:ligatures w14:val="none"/>
              </w:rPr>
              <w:br/>
            </w:r>
            <w:r>
              <w:rPr>
                <w:rFonts w:hint="eastAsia" w:ascii="宋体" w:hAnsi="宋体" w:eastAsia="宋体" w:cs="宋体"/>
                <w:color w:val="auto"/>
                <w:sz w:val="24"/>
                <w:szCs w:val="24"/>
                <w:highlight w:val="none"/>
                <w14:ligatures w14:val="none"/>
              </w:rPr>
              <w:t xml:space="preserve">（</w:t>
            </w:r>
            <w:r>
              <w:rPr>
                <w:rFonts w:hint="eastAsia" w:ascii="宋体" w:hAnsi="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14:ligatures w14:val="none"/>
              </w:rPr>
              <w:t xml:space="preserve">具有</w:t>
            </w:r>
            <w:r>
              <w:rPr>
                <w:rFonts w:hint="eastAsia" w:ascii="宋体" w:hAnsi="宋体" w:eastAsia="宋体" w:cs="宋体"/>
                <w:b w:val="0"/>
                <w:bCs w:val="0"/>
                <w:i w:val="0"/>
                <w:iCs w:val="0"/>
                <w:color w:val="auto"/>
                <w:sz w:val="24"/>
                <w:szCs w:val="24"/>
                <w:highlight w:val="none"/>
                <w14:ligatures w14:val="none"/>
              </w:rPr>
              <w:t xml:space="preserve">知识产权管理体系认证证书</w:t>
            </w:r>
            <w:r>
              <w:rPr>
                <w:rFonts w:hint="eastAsia" w:ascii="宋体" w:hAnsi="宋体" w:eastAsia="宋体" w:cs="宋体"/>
                <w:color w:val="auto"/>
                <w:sz w:val="24"/>
                <w:szCs w:val="24"/>
                <w:highlight w:val="none"/>
                <w14:ligatures w14:val="none"/>
              </w:rPr>
              <w:t xml:space="preserve">的得</w:t>
            </w:r>
            <w:r>
              <w:rPr>
                <w:rFonts w:hint="eastAsia" w:ascii="宋体" w:hAnsi="宋体" w:cs="宋体"/>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14:ligatures w14:val="none"/>
              </w:rPr>
              <w:t xml:space="preserve">分。</w:t>
            </w:r>
            <w:r/>
          </w:p>
          <w:p>
            <w:pPr>
              <w:jc w:val="left"/>
              <w:spacing w:line="360" w:lineRule="auto"/>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注：响应文件提供有效期内的证书扫描件并加盖供应商公章，未提供不得分。</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2.企业业绩</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供应商自2022年1月1日（以合同签订时间为准）至今，承担过类似项目案例的，每有一个得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分，最高得1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jc w:val="left"/>
              <w:spacing w:line="360" w:lineRule="auto"/>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注：响应文件中同时提供合同关键页（含合同服务内容、合同金额、合同盖章页）和验收证明（或服务确认单）</w:t>
            </w:r>
            <w:r>
              <w:rPr>
                <w:rFonts w:hint="eastAsia" w:ascii="宋体" w:hAnsi="宋体" w:cs="宋体"/>
                <w:b/>
                <w:bCs/>
                <w:color w:val="auto"/>
                <w:sz w:val="24"/>
                <w:szCs w:val="24"/>
                <w:highlight w:val="none"/>
                <w:lang w:val="en-US" w:eastAsia="zh-CN"/>
              </w:rPr>
              <w:t xml:space="preserve">原件扫描</w:t>
            </w:r>
            <w:r>
              <w:rPr>
                <w:rFonts w:hint="eastAsia" w:ascii="宋体" w:hAnsi="宋体" w:cs="宋体"/>
                <w:b/>
                <w:bCs/>
                <w:color w:val="auto"/>
                <w:sz w:val="24"/>
                <w:szCs w:val="24"/>
                <w:highlight w:val="none"/>
              </w:rPr>
              <w:t xml:space="preserve">件，未提供或提供不全的不得分。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分</w:t>
            </w:r>
            <w:r/>
          </w:p>
        </w:tc>
      </w:tr>
      <w:tr>
        <w:trPr>
          <w:trHeight w:val="90"/>
        </w:trPr>
        <w:tc>
          <w:tcPr>
            <w:tcBorders>
              <w:top w:val="single" w:color="auto" w:sz="4" w:space="0"/>
              <w:left w:val="single" w:color="auto" w:sz="4" w:space="0"/>
              <w:right w:val="single" w:color="auto" w:sz="4" w:space="0"/>
            </w:tcBorders>
            <w:tcW w:w="1218" w:type="dxa"/>
            <w:vAlign w:val="center"/>
            <w:textDirection w:val="lrTb"/>
            <w:noWrap w:val="false"/>
          </w:tcPr>
          <w:p>
            <w:pPr>
              <w:jc w:val="center"/>
              <w:spacing w:line="360" w:lineRule="auto"/>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widowControl/>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拟投入人员</w:t>
            </w:r>
            <w:r>
              <w:rPr>
                <w:b w:val="0"/>
                <w:bCs w:val="0"/>
              </w:rPr>
            </w:r>
            <w:r/>
          </w:p>
        </w:tc>
        <w:tc>
          <w:tcPr>
            <w:tcBorders>
              <w:top w:val="single" w:color="auto" w:sz="4" w:space="0"/>
              <w:left w:val="single" w:color="auto" w:sz="4" w:space="0"/>
              <w:right w:val="single" w:color="auto" w:sz="4" w:space="0"/>
            </w:tcBorders>
            <w:tcW w:w="6735"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1.</w:t>
            </w:r>
            <w:r>
              <w:rPr>
                <w:rFonts w:ascii="宋体" w:hAnsi="宋体" w:cs="宋体"/>
                <w:color w:val="auto"/>
                <w:sz w:val="24"/>
                <w:szCs w:val="24"/>
                <w:highlight w:val="none"/>
              </w:rPr>
              <w:t xml:space="preserve">为本项目配备的项目经理：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供应商为本项目配备的项目经理具有系统集成项目管理工程师的，得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为本项目配备的项目成员：</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具有信息安全保障人员认证证书（CISAW）的，得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分，没有不得分。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具有软件设计师证书的，得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分，没有不得分。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具有国产数据库技术认证的，得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分，没有不得分。</w:t>
            </w:r>
            <w:r/>
          </w:p>
          <w:p>
            <w:pPr>
              <w:spacing w:line="40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具有</w:t>
            </w:r>
            <w:r>
              <w:rPr>
                <w:rFonts w:hint="eastAsia" w:ascii="Times New Roman" w:hAnsi="Times New Roman" w:eastAsia="宋体" w:cs="仿宋"/>
                <w:strike w:val="0"/>
                <w:color w:val="auto"/>
                <w:sz w:val="24"/>
                <w:szCs w:val="24"/>
                <w:highlight w:val="none"/>
                <w:rtl w:val="0"/>
                <w:lang w:val="en-US" w:eastAsia="zh-CN" w:bidi="ar-SA"/>
              </w:rPr>
              <w:t xml:space="preserve">IT服务工程师证书（</w:t>
            </w:r>
            <w:r>
              <w:rPr>
                <w:rFonts w:hint="eastAsia" w:ascii="Times New Roman" w:hAnsi="Times New Roman" w:eastAsia="宋体" w:cs="仿宋"/>
                <w:b w:val="0"/>
                <w:bCs w:val="0"/>
                <w:strike w:val="0"/>
                <w:color w:val="auto"/>
                <w:sz w:val="24"/>
                <w:szCs w:val="24"/>
                <w:highlight w:val="none"/>
                <w:rtl w:val="0"/>
                <w:lang w:val="en-US" w:eastAsia="zh-CN" w:bidi="ar-SA"/>
              </w:rPr>
              <w:t xml:space="preserve">ITSS</w:t>
            </w:r>
            <w:r>
              <w:rPr>
                <w:rFonts w:hint="eastAsia" w:ascii="Times New Roman" w:hAnsi="Times New Roman" w:eastAsia="宋体" w:cs="仿宋"/>
                <w:strike w:val="0"/>
                <w:color w:val="auto"/>
                <w:sz w:val="24"/>
                <w:szCs w:val="24"/>
                <w:highlight w:val="none"/>
                <w:rtl w:val="0"/>
                <w:lang w:val="en-US" w:eastAsia="zh-CN" w:bidi="ar-SA"/>
              </w:rPr>
              <w:t xml:space="preserve">）</w:t>
            </w:r>
            <w:r>
              <w:rPr>
                <w:rFonts w:hint="eastAsia" w:ascii="宋体" w:hAnsi="宋体" w:cs="宋体"/>
                <w:color w:val="auto"/>
                <w:sz w:val="24"/>
                <w:szCs w:val="24"/>
                <w:highlight w:val="none"/>
              </w:rPr>
              <w:t xml:space="preserve">认证的，得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分，没有不得分。</w:t>
            </w:r>
            <w:r/>
          </w:p>
          <w:p>
            <w:pPr>
              <w:spacing w:line="4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（5）具有信创规划管理师认证证书的，得2分，没有不得分。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注：响应文件中应提供上述人员相关证书证明及供应商为其缴纳的近</w:t>
            </w:r>
            <w:r>
              <w:rPr>
                <w:rFonts w:hint="eastAsia" w:ascii="宋体" w:hAnsi="宋体" w:cs="宋体"/>
                <w:b/>
                <w:color w:val="auto"/>
                <w:sz w:val="24"/>
                <w:szCs w:val="24"/>
                <w:highlight w:val="none"/>
              </w:rPr>
              <w:t xml:space="preserve">三</w:t>
            </w:r>
            <w:r>
              <w:rPr>
                <w:rFonts w:ascii="宋体" w:hAnsi="宋体" w:cs="宋体"/>
                <w:b/>
                <w:color w:val="auto"/>
                <w:sz w:val="24"/>
                <w:szCs w:val="24"/>
                <w:highlight w:val="none"/>
              </w:rPr>
              <w:t xml:space="preserve">个月内</w:t>
            </w:r>
            <w:r>
              <w:rPr>
                <w:rFonts w:hint="eastAsia" w:ascii="宋体" w:hAnsi="宋体" w:cs="宋体"/>
                <w:b/>
                <w:bCs/>
                <w:color w:val="auto"/>
                <w:sz w:val="24"/>
                <w:szCs w:val="24"/>
                <w:highlight w:val="none"/>
              </w:rPr>
              <w:t xml:space="preserve">（不含投标当月）</w:t>
            </w:r>
            <w:r>
              <w:rPr>
                <w:rFonts w:hint="eastAsia" w:ascii="宋体" w:hAnsi="宋体" w:cs="宋体"/>
                <w:b/>
                <w:color w:val="auto"/>
                <w:sz w:val="24"/>
                <w:szCs w:val="24"/>
                <w:highlight w:val="none"/>
              </w:rPr>
              <w:t xml:space="preserve">任意</w:t>
            </w:r>
            <w:r>
              <w:rPr>
                <w:rFonts w:ascii="宋体" w:hAnsi="宋体" w:cs="宋体"/>
                <w:b/>
                <w:color w:val="auto"/>
                <w:sz w:val="24"/>
                <w:szCs w:val="24"/>
                <w:highlight w:val="none"/>
              </w:rPr>
              <w:t xml:space="preserve">一个月的社保证明，未提供的不得分。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对本项目需求的理解</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对本</w:t>
            </w:r>
            <w:r>
              <w:rPr>
                <w:rFonts w:hint="eastAsia" w:ascii="宋体" w:hAnsi="宋体" w:cs="宋体"/>
                <w:color w:val="auto"/>
                <w:sz w:val="24"/>
                <w:szCs w:val="24"/>
                <w:highlight w:val="none"/>
                <w:lang w:eastAsia="zh-CN"/>
              </w:rPr>
              <w:t xml:space="preserve">项目</w:t>
            </w:r>
            <w:r>
              <w:rPr>
                <w:rFonts w:hint="eastAsia" w:ascii="宋体" w:hAnsi="宋体" w:cs="宋体"/>
                <w:color w:val="auto"/>
                <w:sz w:val="24"/>
                <w:szCs w:val="24"/>
                <w:highlight w:val="none"/>
              </w:rPr>
              <w:t xml:space="preserve">业务需求梳理、系统业务的理解、分析及方案响应情况：</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方案内容完整详实，项目要求分析准确得当、能够针对采购项目内容要求而细化制定，得10分；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方案内容完整、项目要求分析表述较好、但不影响实质性意思表达、能够满足采购需求，得7分；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项目要求分析内容笼统，针对本项目制定</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rPr>
              <w:t xml:space="preserve">细致</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，得4分。 </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jc w:val="cente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10分</w:t>
            </w:r>
            <w:r/>
          </w:p>
        </w:tc>
      </w:tr>
      <w:tr>
        <w:trPr>
          <w:trHeight w:val="1512"/>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对系统熟悉程度</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根据供应商提供的业务方案，包括但不限于：省预算管理一体化系统中预算编制、绩效管理与预算执行业务方案。</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理解准确、描述清晰的得10分；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理解较准确、描述较清晰的得7分；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理解基本准确、描述基本清晰的得4分；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10分</w:t>
            </w:r>
            <w:r/>
          </w:p>
        </w:tc>
      </w:tr>
      <w:tr>
        <w:trPr>
          <w:trHeight w:val="617"/>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重点难点分析</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17" w:name="OLE_LINK30"/>
            <w:r/>
            <w:bookmarkEnd w:id="117"/>
            <w:r>
              <w:rPr>
                <w:rFonts w:hint="eastAsia" w:ascii="宋体" w:hAnsi="宋体" w:cs="宋体"/>
                <w:color w:val="auto"/>
                <w:sz w:val="24"/>
                <w:szCs w:val="24"/>
                <w:highlight w:val="none"/>
              </w:rPr>
              <w:t xml:space="preserve">供应商分析梳理项目实施运维过程中的重难点内容，包括不仅限于：网络角度、业务角度、数据角度。</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重点难点分析准确得当，提供的解决策略合理可行，针对性、可操作性强的得10分；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重点难点分析较准确得当，提供的解决策略较合理可行，针对性、可操作性较强的得7分；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重点难点分析基本准确，提供的解决策略基本合理可行的，得4分；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实施部署方案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实施部署方案包括但不限于：一体化平台的实施计划与进度、完善可行的项目实施方案、质量保证、工期管理，风险预防及控制措施方案等。</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方案结构严谨、内容完整详实、能够针对采购项目内容要求而细化制定</w:t>
            </w:r>
            <w:r>
              <w:rPr>
                <w:rFonts w:hint="eastAsia" w:ascii="宋体" w:hAnsi="宋体" w:cs="宋体"/>
                <w:color w:val="auto"/>
                <w:sz w:val="24"/>
                <w:szCs w:val="24"/>
                <w:highlight w:val="none"/>
                <w:lang w:eastAsia="zh-CN"/>
              </w:rPr>
              <w:t xml:space="preserve">、具</w:t>
            </w:r>
            <w:r>
              <w:rPr>
                <w:rFonts w:hint="eastAsia" w:ascii="宋体" w:hAnsi="宋体" w:cs="宋体"/>
                <w:color w:val="auto"/>
                <w:sz w:val="24"/>
                <w:szCs w:val="24"/>
                <w:highlight w:val="none"/>
              </w:rPr>
              <w:t xml:space="preserve">有明确的时间节点和进度安排、项目管理运行机制健全且优于采购需求，得 </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方案完整、制定的措施较齐全、方案表述有偏差、但不影响实质性意思表达、能够满足采购需求，得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有项目实施方案、但方案内容笼统、针对本项目制定未细致、但承诺经过优化可实现采购需求，得 </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spacing w:line="40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35" w:name="_GoBack"/>
            <w:r>
              <w:rPr>
                <w:rFonts w:hint="eastAsia" w:ascii="宋体" w:hAnsi="宋体" w:cs="宋体"/>
                <w:color w:val="auto"/>
                <w:sz w:val="24"/>
                <w:szCs w:val="24"/>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根据供应商提供的售后服务方案（包括但不限于服务承诺、服务体系、服务内容、方式、专业的技术服务团队及其他资源保障等内容）进行综合打分。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方案完整，服务承诺详细、具体，故障响应及时能满足用户要求的，得8分；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方案较完整，服务承诺比较详细、具体，故障响应比较能满足用户要求的，得5分；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方案基本完整，服务承诺、故障响应基本满足用户要求的，得3分；</w:t>
            </w:r>
            <w:r/>
          </w:p>
          <w:p>
            <w:pPr>
              <w:spacing w:line="40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其他情况不得分。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400" w:lineRule="atLeast"/>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8分</w:t>
            </w:r>
            <w:bookmarkEnd w:id="135"/>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应急方案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应急方案包括但不限于：应急抢修及重大节假日、重大活动期间的保障措施。</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方案完整严谨、合理可行、解决措施得当得5分；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方案较完整严谨、较为合理可行、解决措施比较得当得3分；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方案基本满足采购人需求的，得1分；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5分</w:t>
            </w:r>
            <w:r/>
          </w:p>
        </w:tc>
      </w:tr>
      <w:tr>
        <w:trPr>
          <w:trHeight w:val="454"/>
        </w:trPr>
        <w:tc>
          <w:tcPr>
            <w:tcBorders>
              <w:top w:val="single" w:color="auto" w:sz="4" w:space="0"/>
              <w:left w:val="single" w:color="auto" w:sz="4" w:space="0"/>
              <w:bottom w:val="single" w:color="auto" w:sz="4" w:space="0"/>
              <w:right w:val="single" w:color="auto" w:sz="4" w:space="0"/>
            </w:tcBorders>
            <w:tcW w:w="1218"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培训方案</w:t>
            </w:r>
            <w:r/>
          </w:p>
        </w:tc>
        <w:tc>
          <w:tcPr>
            <w:tcBorders>
              <w:top w:val="single" w:color="auto" w:sz="4" w:space="0"/>
              <w:left w:val="single" w:color="auto" w:sz="4" w:space="0"/>
              <w:bottom w:val="single" w:color="auto" w:sz="4" w:space="0"/>
              <w:right w:val="single" w:color="auto" w:sz="4" w:space="0"/>
            </w:tcBorders>
            <w:tcW w:w="6735" w:type="dxa"/>
            <w:vAlign w:val="center"/>
            <w:textDirection w:val="lrTb"/>
            <w:noWrap w:val="false"/>
          </w:tcPr>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针对本项目准备培训计划和工作方案（包括但不限于本地实施手册编写方案、系统培训计划、培训质量保证措施等）。</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方案内容详实，方案表述全面、相关措施可操作性强且优于采购需求，得5分；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方案内容基本详实、相关措施具有操作性、能够满足采购需求，得3分；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方案内容有所欠缺、但承诺经过优化可实现采购需求，得 1分；</w:t>
            </w:r>
            <w:r/>
          </w:p>
          <w:p>
            <w:pP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不提供不得分。</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spacing w:line="400"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5分</w:t>
            </w:r>
            <w:r/>
          </w:p>
        </w:tc>
      </w:tr>
    </w:tbl>
    <w:p>
      <w:pPr>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560" w:lineRule="exact"/>
        <w:rPr>
          <w:rFonts w:hint="eastAsia" w:ascii="宋体" w:hAnsi="宋体"/>
          <w:bCs/>
          <w:color w:val="auto"/>
          <w:sz w:val="24"/>
          <w:highlight w:val="none"/>
        </w:rPr>
      </w:pPr>
      <w:r>
        <w:rPr>
          <w:rFonts w:hint="eastAsia" w:ascii="宋体" w:hAnsi="宋体" w:cs="宋体"/>
          <w:color w:val="auto"/>
          <w:sz w:val="24"/>
          <w:highlight w:val="none"/>
        </w:rPr>
        <w:t xml:space="preserve">说明</w:t>
      </w:r>
      <w:r>
        <w:rPr>
          <w:rFonts w:hint="eastAsia" w:ascii="宋体" w:hAnsi="宋体"/>
          <w:bCs/>
          <w:color w:val="auto"/>
          <w:sz w:val="24"/>
          <w:highlight w:val="none"/>
        </w:rPr>
        <w:t xml:space="preserve">：</w:t>
      </w:r>
      <w:r/>
    </w:p>
    <w:p>
      <w:pPr>
        <w:spacing w:line="560" w:lineRule="exact"/>
        <w:rPr>
          <w:rFonts w:ascii="宋体" w:hAnsi="宋体" w:cs="宋体"/>
          <w:color w:val="auto"/>
          <w:sz w:val="24"/>
          <w:highlight w:val="none"/>
        </w:rPr>
      </w:pPr>
      <w:r>
        <w:rPr>
          <w:rFonts w:hint="eastAsia" w:ascii="宋体" w:hAnsi="宋体" w:cs="宋体"/>
          <w:color w:val="auto"/>
          <w:sz w:val="24"/>
          <w:highlight w:val="none"/>
        </w:rPr>
        <w:t xml:space="preserve">上述评分标准中须提供相关的各种资格、资质、证书、证明材料等提供扫描件并加盖公章，供应商必须保证所提供资料的真实性和完整性，如发现存在骗取成交等虚假行为，将依据法律规定取消其中标资格。</w:t>
      </w:r>
      <w:r/>
    </w:p>
    <w:p>
      <w:pPr>
        <w:spacing w:line="6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rPr>
          <w:rFonts w:ascii="宋体" w:hAnsi="宋体" w:cs="宋体"/>
          <w:b/>
          <w:bCs/>
          <w:color w:val="auto"/>
          <w:sz w:val="24"/>
          <w:highlight w:val="none"/>
        </w:rPr>
        <w:t xml:space="preserve">本办法未尽事宜，经</w:t>
      </w:r>
      <w:r>
        <w:rPr>
          <w:rFonts w:hint="eastAsia" w:ascii="宋体" w:hAnsi="宋体" w:cs="宋体"/>
          <w:b/>
          <w:bCs/>
          <w:color w:val="auto"/>
          <w:sz w:val="24"/>
          <w:highlight w:val="none"/>
        </w:rPr>
        <w:t xml:space="preserve">磋商小组</w:t>
      </w:r>
      <w:r>
        <w:rPr>
          <w:rFonts w:ascii="宋体" w:hAnsi="宋体" w:cs="宋体"/>
          <w:b/>
          <w:bCs/>
          <w:color w:val="auto"/>
          <w:sz w:val="24"/>
          <w:highlight w:val="none"/>
        </w:rPr>
        <w:t xml:space="preserve">集体通过后，形成书面材料，作为本</w:t>
      </w:r>
      <w:r>
        <w:rPr>
          <w:rFonts w:hint="eastAsia" w:ascii="宋体" w:hAnsi="宋体" w:cs="宋体"/>
          <w:b/>
          <w:bCs/>
          <w:color w:val="auto"/>
          <w:sz w:val="24"/>
          <w:highlight w:val="none"/>
        </w:rPr>
        <w:t xml:space="preserve">磋商</w:t>
      </w:r>
      <w:r>
        <w:rPr>
          <w:rFonts w:ascii="宋体" w:hAnsi="宋体" w:cs="宋体"/>
          <w:b/>
          <w:bCs/>
          <w:color w:val="auto"/>
          <w:sz w:val="24"/>
          <w:highlight w:val="none"/>
        </w:rPr>
        <w:t xml:space="preserve">办法的补充条款，并按</w:t>
      </w:r>
      <w:r>
        <w:rPr>
          <w:rFonts w:hint="eastAsia" w:ascii="宋体" w:hAnsi="宋体" w:cs="宋体"/>
          <w:b/>
          <w:bCs/>
          <w:color w:val="auto"/>
          <w:sz w:val="24"/>
          <w:highlight w:val="none"/>
        </w:rPr>
        <w:t xml:space="preserve">磋商</w:t>
      </w:r>
      <w:r>
        <w:rPr>
          <w:rFonts w:ascii="宋体" w:hAnsi="宋体" w:cs="宋体"/>
          <w:b/>
          <w:bCs/>
          <w:color w:val="auto"/>
          <w:sz w:val="24"/>
          <w:highlight w:val="none"/>
        </w:rPr>
        <w:t xml:space="preserve">办法及补充条款</w:t>
      </w:r>
      <w:r>
        <w:rPr>
          <w:rFonts w:hint="eastAsia" w:ascii="宋体" w:hAnsi="宋体" w:cs="宋体"/>
          <w:b/>
          <w:bCs/>
          <w:color w:val="auto"/>
          <w:sz w:val="24"/>
          <w:highlight w:val="none"/>
        </w:rPr>
        <w:t xml:space="preserve">进行磋商</w:t>
      </w:r>
      <w:r>
        <w:rPr>
          <w:rFonts w:ascii="宋体" w:hAnsi="宋体" w:cs="宋体"/>
          <w:b/>
          <w:bCs/>
          <w:color w:val="auto"/>
          <w:sz w:val="24"/>
          <w:highlight w:val="none"/>
        </w:rPr>
        <w:t xml:space="preserve">。</w:t>
      </w:r>
      <w:r/>
    </w:p>
    <w:p>
      <w:pPr>
        <w:rPr>
          <w:color w:val="auto"/>
          <w:sz w:val="32"/>
          <w:szCs w:val="32"/>
          <w:highlight w:val="none"/>
        </w:rPr>
      </w:pPr>
      <w:r>
        <w:rPr>
          <w:color w:val="auto"/>
          <w:sz w:val="32"/>
          <w:szCs w:val="32"/>
          <w:highlight w:val="none"/>
        </w:rPr>
        <w:br w:type="page" w:clear="all"/>
      </w:r>
      <w:r/>
    </w:p>
    <w:p>
      <w:pPr>
        <w:rPr>
          <w:color w:val="auto"/>
          <w:highlight w:val="none"/>
        </w:rPr>
      </w:pPr>
      <w:r>
        <w:rPr>
          <w:color w:val="auto"/>
          <w:highlight w:val="none"/>
        </w:rPr>
      </w:r>
      <w:r/>
    </w:p>
    <w:p>
      <w:pPr>
        <w:pStyle w:val="1215"/>
        <w:rPr>
          <w:color w:val="auto"/>
          <w:sz w:val="32"/>
          <w:szCs w:val="32"/>
          <w:highlight w:val="none"/>
        </w:rPr>
      </w:pPr>
      <w:r>
        <w:rPr>
          <w:color w:val="auto"/>
          <w:sz w:val="32"/>
          <w:szCs w:val="32"/>
          <w:highlight w:val="none"/>
        </w:rPr>
        <w:t xml:space="preserve">第六章  响应文件的组成和格式</w:t>
      </w:r>
      <w:bookmarkEnd w:id="116"/>
      <w:r/>
      <w:r/>
    </w:p>
    <w:p>
      <w:pPr>
        <w:rPr>
          <w:color w:val="auto"/>
          <w:highlight w:val="none"/>
        </w:rPr>
      </w:pPr>
      <w:r>
        <w:rPr>
          <w:color w:val="auto"/>
          <w:highlight w:val="none"/>
        </w:rPr>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一、资格审查文件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1.法定代表人资格证明书及法定代表人身份证原件扫描件；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2.法定代表人授权委托书及授权委托人身份证原件扫描件（法定代表人亲自参加投标的除外）；</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3.投标供应商具有法人或者其他组织的营业执照原件扫描件；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4.供应商近六个月中任意一个月（不含投标当月）的财务状况报告（资产负债表和利润表）或由会计师事务所出具的近两年中任意一个年度的审计报告和所附已审财务报告扫描件； </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5.供应商近六个月中任意一个月（不含投标当月）的依法缴纳税收的相关材料（提供相关主管部门证明或银行代扣证明）或供应商依法享受缓缴、免缴税收的提供证明材料扫描件； </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6.供应商近六个月任意一个月（不含投标当月）的依法缴纳社会保障资金的相关材料（提供相关主管部门证明或银行代扣证明）或供应商依法享受缓缴、免缴社会保障资金的提供证明材料扫描件；</w:t>
      </w:r>
      <w:r/>
    </w:p>
    <w:p>
      <w:pPr>
        <w:jc w:val="left"/>
        <w:spacing w:line="360" w:lineRule="auto"/>
        <w:rPr>
          <w:rFonts w:cs="宋体"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7.</w:t>
      </w:r>
      <w:r>
        <w:rPr>
          <w:rFonts w:hint="eastAsia" w:cs="宋体" w:asciiTheme="minorEastAsia" w:hAnsiTheme="minorEastAsia" w:eastAsiaTheme="minorEastAsia"/>
          <w:color w:val="auto"/>
          <w:sz w:val="24"/>
          <w:highlight w:val="none"/>
        </w:rPr>
        <w:t xml:space="preserve">参加政府采购活动前 3 年内在经营活动中没有重大违法记录的书面声明原件；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8.供应商具备履行合同所必需的设备和专业技术能力的书面声明（格式自拟）；</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9.《中小企业声明函》或《残疾人福利性单位声明函》或监狱和戒毒企业证明材料。</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注：上述1—9中任何一条不符合要求，则资格性审查不通过，按无效响应文件处理。</w:t>
      </w:r>
      <w:r/>
    </w:p>
    <w:p>
      <w:pPr>
        <w:jc w:val="left"/>
        <w:spacing w:line="360" w:lineRule="auto"/>
        <w:rPr>
          <w:rFonts w:asciiTheme="minorEastAsia" w:hAnsiTheme="minorEastAsia" w:eastAsiaTheme="minorEastAsia"/>
          <w:bCs/>
          <w:color w:val="auto"/>
          <w:sz w:val="24"/>
          <w:highlight w:val="none"/>
          <w:lang w:val="zh-CN"/>
        </w:rPr>
      </w:pPr>
      <w:r>
        <w:rPr>
          <w:rFonts w:hint="eastAsia" w:asciiTheme="minorEastAsia" w:hAnsiTheme="minorEastAsia" w:eastAsiaTheme="minorEastAsia"/>
          <w:bCs/>
          <w:color w:val="auto"/>
          <w:sz w:val="24"/>
          <w:highlight w:val="none"/>
          <w:lang w:val="zh-CN"/>
        </w:rPr>
        <w:t xml:space="preserve">（</w:t>
      </w:r>
      <w:r>
        <w:rPr>
          <w:rFonts w:hint="eastAsia" w:asciiTheme="minorEastAsia" w:hAnsiTheme="minorEastAsia" w:eastAsiaTheme="minorEastAsia"/>
          <w:bCs/>
          <w:color w:val="auto"/>
          <w:sz w:val="24"/>
          <w:highlight w:val="none"/>
        </w:rPr>
        <w:t xml:space="preserve">磋商</w:t>
      </w:r>
      <w:r>
        <w:rPr>
          <w:rFonts w:hint="eastAsia" w:asciiTheme="minorEastAsia" w:hAnsiTheme="minorEastAsia" w:eastAsiaTheme="minorEastAsia"/>
          <w:bCs/>
          <w:color w:val="auto"/>
          <w:sz w:val="24"/>
          <w:highlight w:val="none"/>
          <w:lang w:val="zh-CN"/>
        </w:rPr>
        <w:t xml:space="preserve">文件要求提供的资格审查证明材料中如没有对应的接口上传资料的，可以在其他材料的接口中上传。）</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二、商务技术文件</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1.磋商响应函（格式参见第六章）；</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2.首次磋商报价表、</w:t>
      </w:r>
      <w:r>
        <w:rPr>
          <w:rFonts w:hint="eastAsia" w:asciiTheme="minorEastAsia" w:hAnsiTheme="minorEastAsia" w:eastAsiaTheme="minorEastAsia"/>
          <w:bCs/>
          <w:color w:val="auto"/>
          <w:sz w:val="24"/>
          <w:highlight w:val="none"/>
          <w:lang w:val="en-US" w:eastAsia="zh-CN"/>
        </w:rPr>
        <w:t xml:space="preserve">分项报价表</w:t>
      </w:r>
      <w:r>
        <w:rPr>
          <w:rFonts w:hint="eastAsia" w:asciiTheme="minorEastAsia" w:hAnsiTheme="minorEastAsia" w:eastAsiaTheme="minorEastAsia"/>
          <w:bCs/>
          <w:color w:val="auto"/>
          <w:sz w:val="24"/>
          <w:highlight w:val="none"/>
        </w:rPr>
        <w:t xml:space="preserve">（格式参见第六章）；</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3.采购需求响应及偏离表、商务条款响应及偏离表（格式参见第六章）；</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4.拟派本项目人员一览表；</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5.供应商近年类似业绩情况表及相关证明材料；</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6.承诺书；</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7.技术方案、服务承诺；</w:t>
      </w:r>
      <w:r/>
    </w:p>
    <w:p>
      <w:pPr>
        <w:spacing w:line="360" w:lineRule="auto"/>
        <w:tabs>
          <w:tab w:val="left" w:pos="90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w:t>
      </w:r>
      <w:r>
        <w:rPr>
          <w:rFonts w:hint="eastAsia" w:asciiTheme="minorEastAsia" w:hAnsiTheme="minorEastAsia" w:eastAsiaTheme="minorEastAsia"/>
          <w:color w:val="auto"/>
          <w:sz w:val="24"/>
          <w:highlight w:val="none"/>
        </w:rPr>
        <w:t xml:space="preserve">根据项目需求和评审方法以及评审标准，供应商为使自身处于有利评审地位，应当提交的其他文件和证明资料；</w:t>
      </w:r>
      <w:r/>
    </w:p>
    <w:p>
      <w:pPr>
        <w:jc w:val="left"/>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9.供应商认为需要提交的其他资料。</w:t>
      </w:r>
      <w:r/>
    </w:p>
    <w:p>
      <w:pPr>
        <w:jc w:val="left"/>
        <w:spacing w:line="360" w:lineRule="auto"/>
        <w:rPr>
          <w:bCs/>
          <w:color w:val="auto"/>
          <w:sz w:val="24"/>
          <w:highlight w:val="none"/>
        </w:rPr>
        <w:sectPr>
          <w:footerReference w:type="default" r:id="rId14"/>
          <w:footnotePr/>
          <w:endnotePr/>
          <w:type w:val="nextPage"/>
          <w:pgSz w:w="11907" w:h="16840" w:orient="portrait"/>
          <w:pgMar w:top="1134" w:right="1134" w:bottom="1134" w:left="1560" w:header="851" w:footer="851" w:gutter="0"/>
          <w:pgNumType w:start="1"/>
          <w:cols w:num="1" w:sep="0" w:space="720" w:equalWidth="1"/>
          <w:docGrid w:linePitch="360"/>
        </w:sectPr>
      </w:pPr>
      <w:r>
        <w:rPr>
          <w:bCs/>
          <w:color w:val="auto"/>
          <w:sz w:val="24"/>
          <w:highlight w:val="none"/>
        </w:rPr>
      </w:r>
      <w:r/>
    </w:p>
    <w:p>
      <w:pPr>
        <w:jc w:val="center"/>
        <w:spacing w:line="360" w:lineRule="auto"/>
        <w:rPr>
          <w:b/>
          <w:color w:val="auto"/>
          <w:sz w:val="44"/>
          <w:szCs w:val="44"/>
          <w:highlight w:val="none"/>
        </w:rPr>
        <w:outlineLvl w:val="0"/>
      </w:pPr>
      <w:r/>
      <w:bookmarkStart w:id="118" w:name="_Toc31132"/>
      <w:r/>
      <w:bookmarkStart w:id="119" w:name="_Toc2523"/>
      <w:r/>
      <w:r/>
    </w:p>
    <w:p>
      <w:pPr>
        <w:jc w:val="center"/>
        <w:spacing w:line="360" w:lineRule="auto"/>
        <w:rPr>
          <w:b/>
          <w:color w:val="auto"/>
          <w:sz w:val="44"/>
          <w:szCs w:val="44"/>
          <w:highlight w:val="none"/>
        </w:rPr>
        <w:outlineLvl w:val="0"/>
      </w:pPr>
      <w:r>
        <w:rPr>
          <w:b/>
          <w:color w:val="auto"/>
          <w:sz w:val="44"/>
          <w:szCs w:val="44"/>
          <w:highlight w:val="none"/>
        </w:rPr>
      </w:r>
      <w:r/>
    </w:p>
    <w:p>
      <w:pPr>
        <w:jc w:val="center"/>
        <w:spacing w:line="360" w:lineRule="auto"/>
        <w:rPr>
          <w:b/>
          <w:color w:val="auto"/>
          <w:sz w:val="44"/>
          <w:szCs w:val="44"/>
          <w:highlight w:val="none"/>
        </w:rPr>
        <w:outlineLvl w:val="0"/>
      </w:pPr>
      <w:r>
        <w:rPr>
          <w:b/>
          <w:color w:val="auto"/>
          <w:sz w:val="44"/>
          <w:szCs w:val="44"/>
          <w:highlight w:val="none"/>
        </w:rPr>
        <w:t xml:space="preserve">竞争性磋商响应文件</w:t>
      </w:r>
      <w:bookmarkEnd w:id="118"/>
      <w:r/>
      <w:bookmarkEnd w:id="119"/>
      <w:r/>
      <w:r/>
    </w:p>
    <w:p>
      <w:pPr>
        <w:pStyle w:val="1241"/>
        <w:ind w:firstLine="0"/>
        <w:jc w:val="center"/>
        <w:spacing w:before="0" w:after="0"/>
        <w:rPr>
          <w:rFonts w:ascii="Times New Roman" w:hAnsi="Times New Roman"/>
          <w:b/>
          <w:bCs/>
          <w:color w:val="auto"/>
          <w:sz w:val="21"/>
          <w:szCs w:val="21"/>
          <w:highlight w:val="none"/>
        </w:rPr>
      </w:pPr>
      <w:r>
        <w:rPr>
          <w:rFonts w:ascii="Times New Roman" w:hAnsi="Times New Roman"/>
          <w:b/>
          <w:bCs/>
          <w:color w:val="auto"/>
          <w:sz w:val="21"/>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632"/>
        <w:spacing w:line="360" w:lineRule="auto"/>
        <w:rPr>
          <w:b/>
          <w:color w:val="auto"/>
          <w:szCs w:val="21"/>
          <w:highlight w:val="none"/>
        </w:rPr>
      </w:pPr>
      <w:r>
        <w:rPr>
          <w:b/>
          <w:color w:val="auto"/>
          <w:szCs w:val="21"/>
          <w:highlight w:val="none"/>
        </w:rPr>
      </w:r>
      <w:r/>
    </w:p>
    <w:p>
      <w:pPr>
        <w:ind w:firstLine="843"/>
        <w:spacing w:line="360" w:lineRule="auto"/>
        <w:rPr>
          <w:b/>
          <w:color w:val="auto"/>
          <w:sz w:val="28"/>
          <w:szCs w:val="28"/>
          <w:highlight w:val="none"/>
        </w:rPr>
      </w:pPr>
      <w:r>
        <w:rPr>
          <w:b/>
          <w:color w:val="auto"/>
          <w:sz w:val="28"/>
          <w:szCs w:val="28"/>
          <w:highlight w:val="none"/>
        </w:rPr>
        <w:t xml:space="preserve">项 目 名 称：</w:t>
      </w:r>
      <w:r/>
    </w:p>
    <w:p>
      <w:pPr>
        <w:ind w:firstLine="843"/>
        <w:spacing w:line="360" w:lineRule="auto"/>
        <w:rPr>
          <w:b/>
          <w:color w:val="auto"/>
          <w:sz w:val="28"/>
          <w:szCs w:val="28"/>
          <w:highlight w:val="none"/>
          <w:u w:val="single"/>
        </w:rPr>
      </w:pPr>
      <w:r>
        <w:rPr>
          <w:b/>
          <w:color w:val="auto"/>
          <w:sz w:val="28"/>
          <w:szCs w:val="28"/>
          <w:highlight w:val="none"/>
        </w:rPr>
        <w:t xml:space="preserve">项 目 编 号：</w:t>
      </w:r>
      <w:r/>
    </w:p>
    <w:p>
      <w:pPr>
        <w:ind w:firstLine="843"/>
        <w:spacing w:line="360" w:lineRule="auto"/>
        <w:rPr>
          <w:b/>
          <w:color w:val="auto"/>
          <w:sz w:val="28"/>
          <w:szCs w:val="28"/>
          <w:highlight w:val="none"/>
        </w:rPr>
      </w:pPr>
      <w:r>
        <w:rPr>
          <w:b/>
          <w:color w:val="auto"/>
          <w:sz w:val="28"/>
          <w:szCs w:val="28"/>
          <w:highlight w:val="none"/>
        </w:rPr>
        <w:t xml:space="preserve">磋商供应商名称： （加盖CA电子公章）              </w:t>
      </w:r>
      <w:r/>
    </w:p>
    <w:p>
      <w:pPr>
        <w:spacing w:line="360" w:lineRule="auto"/>
        <w:rPr>
          <w:b/>
          <w:color w:val="auto"/>
          <w:sz w:val="28"/>
          <w:szCs w:val="28"/>
          <w:highlight w:val="none"/>
        </w:rPr>
      </w:pPr>
      <w:r>
        <w:rPr>
          <w:b/>
          <w:color w:val="auto"/>
          <w:sz w:val="28"/>
          <w:szCs w:val="28"/>
          <w:highlight w:val="none"/>
        </w:rPr>
        <w:t xml:space="preserve">      日       期：</w:t>
      </w:r>
      <w:bookmarkEnd w:id="111"/>
      <w:r/>
      <w:bookmarkEnd w:id="112"/>
      <w:r/>
      <w:bookmarkEnd w:id="113"/>
      <w:r/>
      <w:r/>
    </w:p>
    <w:p>
      <w:pPr>
        <w:pStyle w:val="1220"/>
        <w:ind w:firstLine="0"/>
        <w:spacing w:line="360" w:lineRule="auto"/>
        <w:rPr>
          <w:b/>
          <w:color w:val="auto"/>
          <w:szCs w:val="21"/>
          <w:highlight w:val="none"/>
        </w:rPr>
      </w:pPr>
      <w:r/>
      <w:bookmarkStart w:id="120" w:name="_Toc456102499"/>
      <w:r/>
      <w:bookmarkStart w:id="121" w:name="_Toc456102676"/>
      <w:r/>
      <w:bookmarkStart w:id="122" w:name="_Toc337816640"/>
      <w:r/>
      <w:bookmarkStart w:id="123" w:name="_Toc456102122"/>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r/>
    </w:p>
    <w:p>
      <w:pPr>
        <w:pStyle w:val="1220"/>
        <w:ind w:firstLine="0"/>
        <w:spacing w:line="360" w:lineRule="auto"/>
        <w:rPr>
          <w:b/>
          <w:color w:val="auto"/>
          <w:szCs w:val="21"/>
          <w:highlight w:val="none"/>
        </w:rPr>
      </w:pPr>
      <w:r>
        <w:rPr>
          <w:b/>
          <w:color w:val="auto"/>
          <w:szCs w:val="21"/>
          <w:highlight w:val="none"/>
        </w:rPr>
      </w:r>
      <w:bookmarkEnd w:id="120"/>
      <w:r/>
      <w:bookmarkEnd w:id="121"/>
      <w:r/>
      <w:bookmarkEnd w:id="122"/>
      <w:r/>
      <w:bookmarkEnd w:id="123"/>
      <w:r/>
      <w:r/>
    </w:p>
    <w:p>
      <w:pPr>
        <w:keepNext/>
        <w:spacing w:before="240" w:after="60" w:line="360" w:lineRule="auto"/>
        <w:rPr>
          <w:rFonts w:ascii="宋体" w:hAnsi="宋体"/>
          <w:color w:val="auto"/>
          <w:sz w:val="44"/>
          <w:szCs w:val="44"/>
          <w:highlight w:val="none"/>
        </w:rPr>
        <w:outlineLvl w:val="1"/>
      </w:pPr>
      <w:r>
        <w:rPr>
          <w:rFonts w:hint="eastAsia" w:ascii="宋体" w:hAnsi="宋体"/>
          <w:b/>
          <w:bCs/>
          <w:color w:val="auto"/>
          <w:szCs w:val="21"/>
          <w:highlight w:val="none"/>
        </w:rPr>
        <w:t xml:space="preserve">附件1 ：                             </w:t>
      </w:r>
      <w:r>
        <w:rPr>
          <w:rFonts w:hint="eastAsia" w:ascii="宋体" w:hAnsi="宋体"/>
          <w:b/>
          <w:bCs/>
          <w:color w:val="auto"/>
          <w:sz w:val="28"/>
          <w:szCs w:val="28"/>
          <w:highlight w:val="none"/>
        </w:rPr>
        <w:t xml:space="preserve">磋商响应函（格式）</w:t>
      </w:r>
      <w:r>
        <w:rPr>
          <w:rFonts w:hint="eastAsia" w:ascii="宋体" w:hAnsi="宋体"/>
          <w:color w:val="auto"/>
          <w:sz w:val="28"/>
          <w:szCs w:val="28"/>
          <w:highlight w:val="none"/>
        </w:rPr>
        <w:t xml:space="preserve"> </w:t>
      </w:r>
      <w:r/>
    </w:p>
    <w:p>
      <w:pPr>
        <w:keepNext/>
        <w:spacing w:before="240" w:after="60" w:line="360" w:lineRule="auto"/>
        <w:rPr>
          <w:rFonts w:ascii="宋体" w:hAnsi="宋体" w:cs="宋体"/>
          <w:color w:val="auto"/>
          <w:szCs w:val="21"/>
          <w:highlight w:val="none"/>
        </w:rPr>
        <w:outlineLvl w:val="1"/>
      </w:pPr>
      <w:r>
        <w:rPr>
          <w:rFonts w:hint="eastAsia" w:ascii="宋体" w:hAnsi="宋体" w:cs="宋体"/>
          <w:b/>
          <w:bCs/>
          <w:color w:val="auto"/>
          <w:szCs w:val="21"/>
          <w:highlight w:val="none"/>
        </w:rPr>
        <w:t xml:space="preserve">致：</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根据贵方为 </w:t>
      </w:r>
      <w:r>
        <w:rPr>
          <w:rFonts w:hint="eastAsia" w:ascii="宋体" w:hAnsi="宋体" w:cs="宋体"/>
          <w:color w:val="auto"/>
          <w:szCs w:val="21"/>
          <w:highlight w:val="none"/>
          <w:u w:val="single"/>
        </w:rPr>
        <w:t xml:space="preserve">  （项 目 名 称） </w:t>
      </w: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项目编号为：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据此函，签字代表宣布同意如下：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（1）按磋商文件规定的各项要求，向</w:t>
      </w:r>
      <w:r>
        <w:rPr>
          <w:rFonts w:hint="eastAsia" w:ascii="宋体" w:hAnsi="宋体" w:cs="宋体"/>
          <w:color w:val="auto"/>
          <w:szCs w:val="21"/>
          <w:highlight w:val="none"/>
          <w:u w:val="single"/>
        </w:rPr>
        <w:t xml:space="preserve">    采购单位名称     </w:t>
      </w:r>
      <w:r>
        <w:rPr>
          <w:rFonts w:hint="eastAsia" w:ascii="宋体" w:hAnsi="宋体" w:cs="宋体"/>
          <w:color w:val="auto"/>
          <w:szCs w:val="21"/>
          <w:highlight w:val="none"/>
        </w:rPr>
        <w:t xml:space="preserve">提供所需相关服务，总报价为（大写）__________________人民币。</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（2）我们完全理解贵方不一定将合同授予最低报价的供应商。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（3）我们已详细审核全部磋商文件及其有效补充文件，我们知道必须放弃提出含糊不清或误解问题的权利。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（4）我们同意从规定的响应文件开启之日起遵循本响应文件，并在规定的有效期期满之前均具有约束力。</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（6）同意向贵方提供贵方可能另外要求的与磋商有关的任何证据或资料，并保证我方已提供和将要提供的文件是真实的、准确的。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（7）一旦我方中标，我方将根据磋商文件的规定，严格履行合同的责任和义务，并保证于规定的时间完成</w:t>
      </w:r>
      <w:r>
        <w:rPr>
          <w:rFonts w:hint="eastAsia" w:ascii="宋体" w:hAnsi="宋体" w:cs="宋体"/>
          <w:color w:val="auto"/>
          <w:szCs w:val="21"/>
          <w:highlight w:val="none"/>
        </w:rPr>
        <w:t xml:space="preserve">本</w:t>
      </w:r>
      <w:r>
        <w:rPr>
          <w:rFonts w:hint="eastAsia" w:ascii="宋体" w:hAnsi="宋体" w:cs="宋体"/>
          <w:color w:val="auto"/>
          <w:szCs w:val="21"/>
          <w:highlight w:val="none"/>
        </w:rPr>
        <w:t xml:space="preserve">项目，交付买方验收。保证不将项目全部或者部分转包给第三方。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（8）我们郑重声明：本单位未为此次项目提供过整体设计、规范编制或者项目管理、监理、检测等服务。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（9）遵守磋商文件中要求的收费项目和标准。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（10）与本次磋商有关的正式通讯地址为：</w:t>
      </w:r>
      <w:r/>
    </w:p>
    <w:p>
      <w:pPr>
        <w:ind w:firstLine="515"/>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供应商（加盖CA电子公章）：</w:t>
      </w:r>
      <w:r>
        <w:rPr>
          <w:rFonts w:hint="eastAsia" w:ascii="宋体" w:hAnsi="宋体" w:cs="宋体"/>
          <w:color w:val="auto"/>
          <w:szCs w:val="21"/>
          <w:highlight w:val="none"/>
          <w:u w:val="single"/>
        </w:rPr>
        <w:t xml:space="preserve">                       </w:t>
      </w:r>
      <w:r/>
    </w:p>
    <w:p>
      <w:pPr>
        <w:ind w:firstLine="515"/>
        <w:spacing w:line="440" w:lineRule="exact"/>
        <w:rPr>
          <w:rFonts w:ascii="宋体" w:hAnsi="宋体" w:cs="宋体"/>
          <w:color w:val="auto"/>
          <w:szCs w:val="21"/>
          <w:highlight w:val="none"/>
          <w:u w:val="single"/>
        </w:rPr>
      </w:pPr>
      <w:r>
        <w:rPr>
          <w:rFonts w:hint="eastAsia" w:ascii="宋体" w:hAnsi="宋体" w:cs="宋体"/>
          <w:color w:val="auto"/>
          <w:szCs w:val="21"/>
          <w:highlight w:val="none"/>
        </w:rPr>
        <w:t xml:space="preserve">法定代表人或授权代表（签字或盖章）：</w:t>
      </w:r>
      <w:r>
        <w:rPr>
          <w:rFonts w:hint="eastAsia" w:ascii="宋体" w:hAnsi="宋体" w:cs="宋体"/>
          <w:color w:val="auto"/>
          <w:szCs w:val="21"/>
          <w:highlight w:val="none"/>
          <w:u w:val="single"/>
        </w:rPr>
        <w:t xml:space="preserve">             </w:t>
      </w:r>
      <w:r/>
    </w:p>
    <w:p>
      <w:pPr>
        <w:ind w:firstLine="5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5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单位地址：</w:t>
      </w:r>
      <w:r>
        <w:rPr>
          <w:rFonts w:hint="eastAsia" w:ascii="宋体" w:hAnsi="宋体" w:cs="宋体"/>
          <w:color w:val="auto"/>
          <w:szCs w:val="21"/>
          <w:highlight w:val="none"/>
          <w:u w:val="single"/>
        </w:rPr>
        <w:t xml:space="preserve">                          </w:t>
      </w:r>
      <w:r/>
    </w:p>
    <w:p>
      <w:pPr>
        <w:ind w:firstLine="5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单位开户银行及账户：</w:t>
      </w:r>
      <w:r>
        <w:rPr>
          <w:rFonts w:hint="eastAsia" w:ascii="宋体" w:hAnsi="宋体" w:cs="宋体"/>
          <w:color w:val="auto"/>
          <w:szCs w:val="21"/>
          <w:highlight w:val="none"/>
          <w:u w:val="single"/>
        </w:rPr>
        <w:t xml:space="preserve">                </w:t>
      </w:r>
      <w:r/>
    </w:p>
    <w:p>
      <w:pPr>
        <w:ind w:firstLine="515"/>
        <w:spacing w:line="440" w:lineRule="exact"/>
        <w:rPr>
          <w:rFonts w:ascii="楷体_GB2312"/>
          <w:color w:val="auto"/>
          <w:sz w:val="32"/>
          <w:szCs w:val="32"/>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keepNext/>
        <w:spacing w:before="240" w:after="60" w:line="360" w:lineRule="auto"/>
        <w:rPr>
          <w:rFonts w:ascii="宋体" w:hAnsi="宋体"/>
          <w:b/>
          <w:bCs/>
          <w:color w:val="auto"/>
          <w:szCs w:val="21"/>
          <w:highlight w:val="none"/>
        </w:rPr>
        <w:outlineLvl w:val="1"/>
      </w:pPr>
      <w:r/>
      <w:bookmarkStart w:id="124" w:name="_Toc32686"/>
      <w:r/>
      <w:bookmarkEnd w:id="124"/>
      <w:r/>
      <w:r/>
    </w:p>
    <w:p>
      <w:pPr>
        <w:pStyle w:val="1223"/>
        <w:rPr>
          <w:color w:val="auto"/>
          <w:highlight w:val="none"/>
        </w:rPr>
      </w:pPr>
      <w:r>
        <w:rPr>
          <w:color w:val="auto"/>
          <w:highlight w:val="none"/>
        </w:rPr>
      </w:r>
      <w:r/>
    </w:p>
    <w:p>
      <w:pPr>
        <w:pStyle w:val="1228"/>
        <w:rPr>
          <w:color w:val="auto"/>
          <w:highlight w:val="none"/>
        </w:rPr>
      </w:pPr>
      <w:r>
        <w:rPr>
          <w:color w:val="auto"/>
          <w:highlight w:val="none"/>
        </w:rPr>
      </w:r>
      <w:r/>
    </w:p>
    <w:p>
      <w:pPr>
        <w:pStyle w:val="1228"/>
        <w:rPr>
          <w:color w:val="auto"/>
          <w:highlight w:val="none"/>
        </w:rPr>
      </w:pPr>
      <w:r>
        <w:rPr>
          <w:color w:val="auto"/>
          <w:highlight w:val="none"/>
        </w:rPr>
      </w:r>
      <w:r/>
    </w:p>
    <w:p>
      <w:pPr>
        <w:keepNext/>
        <w:spacing w:before="240" w:after="60" w:line="360" w:lineRule="auto"/>
        <w:rPr>
          <w:rFonts w:ascii="宋体" w:hAnsi="宋体"/>
          <w:b/>
          <w:bCs/>
          <w:color w:val="auto"/>
          <w:szCs w:val="21"/>
          <w:highlight w:val="none"/>
        </w:rPr>
        <w:outlineLvl w:val="1"/>
      </w:pPr>
      <w:r>
        <w:rPr>
          <w:rFonts w:hint="eastAsia" w:ascii="宋体" w:hAnsi="宋体"/>
          <w:b/>
          <w:bCs/>
          <w:color w:val="auto"/>
          <w:szCs w:val="21"/>
          <w:highlight w:val="none"/>
        </w:rPr>
        <w:t xml:space="preserve">附件2：                              </w:t>
      </w:r>
      <w:r>
        <w:rPr>
          <w:rFonts w:hint="eastAsia" w:ascii="宋体" w:hAnsi="宋体"/>
          <w:b/>
          <w:bCs/>
          <w:color w:val="auto"/>
          <w:sz w:val="28"/>
          <w:szCs w:val="28"/>
          <w:highlight w:val="none"/>
        </w:rPr>
        <w:t xml:space="preserve">法定代表人资格证明书</w:t>
      </w:r>
      <w:r/>
    </w:p>
    <w:p>
      <w:pPr>
        <w:ind w:firstLine="315"/>
        <w:jc w:val="left"/>
        <w:spacing w:line="520" w:lineRule="exact"/>
        <w:rPr>
          <w:rFonts w:ascii="宋体" w:hAnsi="宋体" w:cs="宋体"/>
          <w:color w:val="auto"/>
          <w:szCs w:val="21"/>
          <w:highlight w:val="none"/>
        </w:rPr>
      </w:pPr>
      <w:r>
        <w:rPr>
          <w:rFonts w:hint="eastAsia" w:ascii="宋体" w:hAnsi="宋体" w:cs="宋体"/>
          <w:color w:val="auto"/>
          <w:szCs w:val="21"/>
          <w:highlight w:val="none"/>
          <w:u w:val="single"/>
        </w:rPr>
        <w:t xml:space="preserve">（法定代表人姓名）</w:t>
      </w:r>
      <w:r>
        <w:rPr>
          <w:rFonts w:hint="eastAsia" w:ascii="宋体" w:hAnsi="宋体" w:cs="宋体"/>
          <w:color w:val="auto"/>
          <w:szCs w:val="21"/>
          <w:highlight w:val="none"/>
        </w:rPr>
        <w:t xml:space="preserve">在</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lang w:val="en-US" w:eastAsia="zh-CN"/>
        </w:rPr>
        <w:t xml:space="preserve">担</w:t>
      </w:r>
      <w:r>
        <w:rPr>
          <w:rFonts w:hint="eastAsia" w:ascii="宋体" w:hAnsi="宋体" w:cs="宋体"/>
          <w:color w:val="auto"/>
          <w:szCs w:val="21"/>
          <w:highlight w:val="none"/>
        </w:rPr>
        <w:t xml:space="preserve">任</w:t>
      </w:r>
      <w:r>
        <w:rPr>
          <w:rFonts w:hint="eastAsia" w:ascii="宋体" w:hAnsi="宋体" w:cs="宋体"/>
          <w:color w:val="auto"/>
          <w:szCs w:val="21"/>
          <w:highlight w:val="none"/>
          <w:u w:val="single"/>
        </w:rPr>
        <w:t xml:space="preserve">（职务名称）</w:t>
      </w:r>
      <w:r>
        <w:rPr>
          <w:rFonts w:hint="eastAsia" w:ascii="宋体" w:hAnsi="宋体" w:cs="宋体"/>
          <w:color w:val="auto"/>
          <w:szCs w:val="21"/>
          <w:highlight w:val="none"/>
        </w:rPr>
        <w:t xml:space="preserve">职务，是</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15"/>
        <w:jc w:val="lef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15"/>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特此证明。</w:t>
      </w:r>
      <w:r/>
    </w:p>
    <w:p>
      <w:pPr>
        <w:ind w:firstLine="315"/>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rPr>
        <w:t xml:space="preserve">加盖CA电子公章</w:t>
      </w:r>
      <w:r>
        <w:rPr>
          <w:rFonts w:hint="eastAsia" w:ascii="宋体" w:hAnsi="宋体" w:cs="宋体"/>
          <w:color w:val="auto"/>
          <w:szCs w:val="21"/>
          <w:highlight w:val="none"/>
        </w:rPr>
        <w:t xml:space="preserve">）</w:t>
      </w:r>
      <w:r/>
    </w:p>
    <w:p>
      <w:pPr>
        <w:ind w:firstLine="315"/>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日期：年 月 日</w:t>
      </w:r>
      <w:r/>
    </w:p>
    <w:p>
      <w:pPr>
        <w:ind w:firstLine="480"/>
        <w:spacing w:line="520" w:lineRule="exact"/>
        <w:rPr>
          <w:rFonts w:ascii="宋体" w:hAnsi="宋体"/>
          <w:color w:val="auto"/>
          <w:szCs w:val="21"/>
          <w:highlight w:val="none"/>
        </w:rPr>
      </w:pPr>
      <w:r>
        <w:rPr>
          <w:rFonts w:hint="eastAsia" w:ascii="宋体" w:hAnsi="宋体"/>
          <w:color w:val="auto"/>
          <w:szCs w:val="21"/>
          <w:highlight w:val="none"/>
        </w:rPr>
        <w:t xml:space="preserve">说明：上述证明文件在响应文件中附有法定代表人身份证扫描件或护照扫描件（供应商的法定代表人为外籍人士的，则提供护照扫描件）时才能生效；</w:t>
      </w:r>
      <w:r/>
    </w:p>
    <w:p>
      <w:pPr>
        <w:ind w:firstLine="480"/>
        <w:spacing w:line="52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80"/>
        <w:spacing w:line="520" w:lineRule="exact"/>
        <w:rPr>
          <w:rFonts w:ascii="宋体" w:hAnsi="宋体"/>
          <w:color w:val="auto"/>
          <w:szCs w:val="21"/>
          <w:highlight w:val="none"/>
        </w:rPr>
      </w:pPr>
      <w:r>
        <w:rPr>
          <w:rFonts w:hint="eastAsia" w:ascii="宋体" w:hAnsi="宋体"/>
          <w:color w:val="auto"/>
          <w:szCs w:val="21"/>
          <w:highlight w:val="none"/>
        </w:rPr>
        <w:t xml:space="preserve">法定代表人身份证扫描件（正反两面）：</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1219"/>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2656"/>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法定代表人身份证正面扫描件</w:t>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single" w:color="auto" w:sz="4" w:space="0"/>
            </w:tcBorders>
            <w:tcW w:w="649" w:type="dxa"/>
            <w:textDirection w:val="lrTb"/>
            <w:noWrap w:val="false"/>
          </w:tcPr>
          <w:p>
            <w:pPr>
              <w:ind w:left="621" w:firstLine="480"/>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left"/>
              <w:widowControl/>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027" w:type="dxa"/>
            <w:textDirection w:val="lrTb"/>
            <w:noWrap w:val="false"/>
          </w:tcPr>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法定代表人身份证反面扫描件</w:t>
            </w:r>
            <w:r/>
          </w:p>
          <w:p>
            <w:pPr>
              <w:ind w:firstLine="1417"/>
              <w:rPr>
                <w:rFonts w:ascii="宋体" w:hAnsi="宋体"/>
                <w:color w:val="auto"/>
                <w:szCs w:val="21"/>
                <w:highlight w:val="none"/>
              </w:rPr>
            </w:pPr>
            <w:r>
              <w:rPr>
                <w:rFonts w:ascii="宋体" w:hAnsi="宋体"/>
                <w:color w:val="auto"/>
                <w:szCs w:val="21"/>
                <w:highlight w:val="none"/>
              </w:rPr>
            </w:r>
            <w:r/>
          </w:p>
        </w:tc>
      </w:tr>
    </w:tbl>
    <w:p>
      <w:pPr>
        <w:jc w:val="left"/>
        <w:rPr>
          <w:rFonts w:ascii="宋体" w:hAnsi="宋体" w:cs="宋体"/>
          <w:color w:val="auto"/>
          <w:szCs w:val="21"/>
          <w:highlight w:val="none"/>
        </w:rPr>
      </w:pPr>
      <w:r>
        <w:rPr>
          <w:rFonts w:hint="eastAsia" w:ascii="宋体" w:hAnsi="宋体" w:cs="宋体"/>
          <w:color w:val="auto"/>
          <w:szCs w:val="21"/>
          <w:highlight w:val="none"/>
        </w:rPr>
        <w:t xml:space="preserve"> </w:t>
      </w:r>
      <w:r/>
    </w:p>
    <w:p>
      <w:pPr>
        <w:rPr>
          <w:rFonts w:ascii="宋体" w:hAnsi="宋体" w:cs="宋体"/>
          <w:color w:val="auto"/>
          <w:szCs w:val="21"/>
          <w:highlight w:val="none"/>
        </w:rPr>
        <w:outlineLvl w:val="0"/>
      </w:pPr>
      <w:r>
        <w:rPr>
          <w:rFonts w:hint="eastAsia" w:ascii="宋体" w:hAnsi="宋体" w:cs="宋体"/>
          <w:color w:val="auto"/>
          <w:szCs w:val="21"/>
          <w:highlight w:val="none"/>
        </w:rPr>
        <w:br w:type="page" w:clear="all"/>
      </w:r>
      <w:bookmarkStart w:id="125" w:name="_Toc31117"/>
      <w:r/>
      <w:bookmarkEnd w:id="125"/>
      <w:r>
        <w:rPr>
          <w:rFonts w:hint="eastAsia" w:ascii="宋体" w:hAnsi="宋体" w:cs="宋体"/>
          <w:color w:val="auto"/>
          <w:szCs w:val="21"/>
          <w:highlight w:val="none"/>
        </w:rPr>
        <w:t xml:space="preserve"> </w:t>
      </w:r>
      <w:r/>
    </w:p>
    <w:p>
      <w:pPr>
        <w:rPr>
          <w:rFonts w:ascii="宋体" w:hAnsi="宋体" w:cs="宋体"/>
          <w:b/>
          <w:bCs/>
          <w:color w:val="auto"/>
          <w:sz w:val="28"/>
          <w:szCs w:val="28"/>
          <w:highlight w:val="none"/>
        </w:rPr>
        <w:outlineLvl w:val="0"/>
      </w:pPr>
      <w:r>
        <w:rPr>
          <w:rFonts w:hint="eastAsia" w:ascii="宋体" w:hAnsi="宋体" w:cs="宋体"/>
          <w:b/>
          <w:bCs/>
          <w:color w:val="auto"/>
          <w:szCs w:val="21"/>
          <w:highlight w:val="none"/>
        </w:rPr>
        <w:t xml:space="preserve">附件3：                             </w:t>
      </w:r>
      <w:r>
        <w:rPr>
          <w:rFonts w:hint="eastAsia" w:ascii="宋体" w:hAnsi="宋体" w:cs="宋体"/>
          <w:b/>
          <w:bCs/>
          <w:color w:val="auto"/>
          <w:sz w:val="28"/>
          <w:szCs w:val="28"/>
          <w:highlight w:val="none"/>
        </w:rPr>
        <w:t xml:space="preserve"> 法定代表人授权书</w:t>
      </w:r>
      <w:r/>
    </w:p>
    <w:p>
      <w:pPr>
        <w:jc w:val="center"/>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__________________（采购人名称）：</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本授权声明：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（供应商单位名称）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（法定代表人姓名、职务）授权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（被委托代理人姓名、职务）为我方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项目磋商活动的合法代表，以我方名义全权处理该项目有关磋商、签订合同以及执行合同等一切事宜。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特此声明。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olor w:val="auto"/>
          <w:sz w:val="24"/>
          <w:highlight w:val="none"/>
        </w:rPr>
      </w:pPr>
      <w:r>
        <w:rPr>
          <w:rFonts w:hint="eastAsia" w:ascii="宋体" w:hAnsi="宋体" w:cs="宋体"/>
          <w:color w:val="auto"/>
          <w:szCs w:val="21"/>
          <w:highlight w:val="none"/>
        </w:rPr>
        <w:t xml:space="preserve">法定代表人或授权代表（签字或盖章</w:t>
      </w:r>
      <w:r>
        <w:rPr>
          <w:rFonts w:hint="eastAsia" w:ascii="宋体" w:hAnsi="宋体"/>
          <w:color w:val="auto"/>
          <w:sz w:val="24"/>
          <w:highlight w:val="none"/>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一、上述证明文件在响应文件中附有代理人身份证扫描件时才能生效；</w:t>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firstLine="480"/>
        <w:rPr>
          <w:rFonts w:ascii="宋体" w:hAnsi="宋体"/>
          <w:color w:val="auto"/>
          <w:szCs w:val="21"/>
          <w:highlight w:val="none"/>
        </w:rPr>
      </w:pPr>
      <w:r>
        <w:rPr>
          <w:rFonts w:hint="eastAsia" w:ascii="宋体" w:hAnsi="宋体"/>
          <w:color w:val="auto"/>
          <w:szCs w:val="21"/>
          <w:highlight w:val="none"/>
        </w:rPr>
        <w:t xml:space="preserve">授权代表身份证扫描件（正反两面）：</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1219"/>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hint="eastAsia" w:ascii="宋体" w:hAnsi="宋体"/>
                <w:color w:val="auto"/>
                <w:szCs w:val="21"/>
                <w:highlight w:val="none"/>
              </w:rPr>
              <w:t xml:space="preserve">被委托代理人身份证正面扫描件</w:t>
            </w:r>
            <w:r/>
          </w:p>
          <w:p>
            <w:pPr>
              <w:ind w:firstLine="480"/>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single" w:color="auto" w:sz="4" w:space="0"/>
            </w:tcBorders>
            <w:tcW w:w="469" w:type="dxa"/>
            <w:textDirection w:val="lrTb"/>
            <w:noWrap w:val="false"/>
          </w:tcPr>
          <w:p>
            <w:pPr>
              <w:jc w:val="left"/>
              <w:widowControl/>
              <w:rPr>
                <w:rFonts w:ascii="宋体" w:hAnsi="宋体" w:cs="宋体"/>
                <w:color w:val="auto"/>
                <w:szCs w:val="21"/>
                <w:highlight w:val="none"/>
              </w:rPr>
            </w:pPr>
            <w:r>
              <w:rPr>
                <w:rFonts w:hint="eastAsia" w:ascii="宋体" w:hAnsi="宋体"/>
                <w:color w:val="auto"/>
                <w:szCs w:val="21"/>
                <w:highlight w:val="none"/>
              </w:rPr>
              <w:t xml:space="preserve"> </w:t>
            </w:r>
            <w:r/>
          </w:p>
          <w:p>
            <w:pPr>
              <w:ind w:firstLine="480"/>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207" w:type="dxa"/>
            <w:textDirection w:val="lrTb"/>
            <w:noWrap w:val="false"/>
          </w:tcPr>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被委托代理人身份证反面扫描件</w:t>
            </w:r>
            <w:r/>
          </w:p>
          <w:p>
            <w:pPr>
              <w:ind w:firstLine="1417"/>
              <w:rPr>
                <w:rFonts w:ascii="宋体" w:hAnsi="宋体"/>
                <w:color w:val="auto"/>
                <w:szCs w:val="21"/>
                <w:highlight w:val="none"/>
              </w:rPr>
            </w:pPr>
            <w:r>
              <w:rPr>
                <w:rFonts w:ascii="宋体" w:hAnsi="宋体"/>
                <w:color w:val="auto"/>
                <w:szCs w:val="21"/>
                <w:highlight w:val="none"/>
              </w:rPr>
            </w:r>
            <w:r/>
          </w:p>
        </w:tc>
      </w:tr>
    </w:tbl>
    <w:p>
      <w:pPr>
        <w:ind w:right="105" w:firstLine="420"/>
        <w:spacing w:line="6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5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firstLine="480"/>
        <w:jc w:val="center"/>
        <w:spacing w:line="360" w:lineRule="auto"/>
        <w:rPr>
          <w:rFonts w:ascii="宋体" w:hAnsi="宋体"/>
          <w:b/>
          <w:bCs/>
          <w:color w:val="auto"/>
          <w:szCs w:val="21"/>
          <w:highlight w:val="none"/>
        </w:rPr>
      </w:pPr>
      <w:r>
        <w:rPr>
          <w:rFonts w:ascii="宋体" w:hAnsi="宋体"/>
          <w:b/>
          <w:bCs/>
          <w:color w:val="auto"/>
          <w:szCs w:val="21"/>
          <w:highlight w:val="none"/>
        </w:rPr>
      </w:r>
      <w:r/>
    </w:p>
    <w:p>
      <w:pPr>
        <w:ind w:firstLine="480"/>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 </w:t>
      </w:r>
      <w:r/>
    </w:p>
    <w:p>
      <w:pPr>
        <w:rPr>
          <w:rFonts w:ascii="宋体" w:hAnsi="宋体" w:cs="宋体"/>
          <w:b/>
          <w:bCs/>
          <w:color w:val="auto"/>
          <w:szCs w:val="21"/>
          <w:highlight w:val="none"/>
        </w:rPr>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b/>
          <w:bCs/>
          <w:color w:val="auto"/>
          <w:szCs w:val="21"/>
          <w:highlight w:val="none"/>
        </w:rPr>
        <w:t xml:space="preserve"> </w:t>
      </w:r>
      <w:bookmarkStart w:id="126" w:name="_Toc25362"/>
      <w:r/>
      <w:bookmarkEnd w:id="126"/>
      <w:r/>
      <w:r/>
    </w:p>
    <w:p>
      <w:pPr>
        <w:spacing w:before="100" w:beforeAutospacing="1" w:line="360" w:lineRule="auto"/>
        <w:widowControl/>
        <w:rPr>
          <w:rFonts w:ascii="宋体" w:hAnsi="宋体"/>
          <w:b/>
          <w:bCs/>
          <w:color w:val="auto"/>
          <w:szCs w:val="21"/>
          <w:highlight w:val="none"/>
        </w:rPr>
        <w:outlineLvl w:val="0"/>
      </w:pPr>
      <w:r>
        <w:rPr>
          <w:rFonts w:hint="eastAsia" w:ascii="宋体" w:hAnsi="宋体"/>
          <w:b/>
          <w:bCs/>
          <w:color w:val="auto"/>
          <w:szCs w:val="21"/>
          <w:highlight w:val="none"/>
        </w:rPr>
        <w:t xml:space="preserve">附件4：                    </w:t>
      </w:r>
      <w:r>
        <w:rPr>
          <w:rFonts w:hint="eastAsia" w:ascii="宋体" w:hAnsi="宋体"/>
          <w:b/>
          <w:bCs/>
          <w:color w:val="auto"/>
          <w:sz w:val="28"/>
          <w:szCs w:val="28"/>
          <w:highlight w:val="none"/>
        </w:rPr>
        <w:t xml:space="preserve">    商务条款响应及偏离表</w:t>
      </w:r>
      <w:r/>
    </w:p>
    <w:p>
      <w:pPr>
        <w:ind w:firstLine="210"/>
        <w:rPr>
          <w:rFonts w:ascii="宋体" w:hAnsi="宋体" w:cs="宋体"/>
          <w:bCs/>
          <w:color w:val="auto"/>
          <w:szCs w:val="21"/>
          <w:highlight w:val="none"/>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rPr>
        <w:tab/>
      </w:r>
      <w:r>
        <w:rPr>
          <w:rFonts w:hint="eastAsia" w:ascii="宋体" w:hAnsi="宋体" w:cs="宋体"/>
          <w:bCs/>
          <w:color w:val="auto"/>
          <w:szCs w:val="21"/>
          <w:highlight w:val="none"/>
        </w:rPr>
        <w:t xml:space="preserve">                                       项目编号：</w:t>
      </w:r>
      <w:r>
        <w:rPr>
          <w:rFonts w:hint="eastAsia" w:ascii="宋体" w:hAnsi="宋体" w:cs="宋体"/>
          <w:color w:val="auto"/>
          <w:szCs w:val="21"/>
          <w:highlight w:val="none"/>
        </w:rPr>
        <w:t xml:space="preserve"> </w:t>
      </w:r>
      <w:r/>
    </w:p>
    <w:tbl>
      <w:tblPr>
        <w:tblStyle w:val="12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Height w:val="639"/>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pacing w:val="15"/>
                <w:szCs w:val="21"/>
                <w:highlight w:val="none"/>
              </w:rPr>
              <w:t xml:space="preserve">磋商文件项目需求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ind w:firstLine="120"/>
              <w:jc w:val="center"/>
              <w:rPr>
                <w:rFonts w:ascii="宋体" w:hAnsi="宋体" w:cs="宋体"/>
                <w:color w:val="auto"/>
                <w:szCs w:val="21"/>
                <w:highlight w:val="none"/>
              </w:rPr>
            </w:pPr>
            <w:r>
              <w:rPr>
                <w:rFonts w:hint="eastAsia" w:ascii="宋体" w:hAnsi="宋体" w:cs="宋体"/>
                <w:color w:val="auto"/>
                <w:spacing w:val="15"/>
                <w:szCs w:val="21"/>
                <w:highlight w:val="none"/>
              </w:rPr>
              <w:t xml:space="preserve">响应文件具体响应情况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超出、</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符合或偏离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合同履行期限</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仿宋_GB2312"/>
                <w:color w:val="auto"/>
                <w:szCs w:val="21"/>
                <w:highlight w:val="none"/>
                <w:lang w:val="zh-CN"/>
              </w:rPr>
              <w:t xml:space="preserve">服务地点</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仿宋_GB2312"/>
                <w:color w:val="auto"/>
                <w:szCs w:val="21"/>
                <w:highlight w:val="none"/>
                <w:lang w:val="zh-CN"/>
              </w:rPr>
              <w:t xml:space="preserve">付款方式</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ascii="宋体" w:hAnsi="宋体" w:cs="宋体"/>
                <w:color w:val="auto"/>
                <w:szCs w:val="21"/>
                <w:highlight w:val="none"/>
              </w:rPr>
            </w:pPr>
            <w:r>
              <w:rPr>
                <w:rFonts w:hint="eastAsia" w:ascii="宋体" w:hAnsi="宋体" w:cs="仿宋_GB2312"/>
                <w:color w:val="auto"/>
                <w:szCs w:val="21"/>
                <w:highlight w:val="none"/>
                <w:lang w:val="zh-CN"/>
              </w:rPr>
              <w:t xml:space="preserve">其他商务要求</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8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hanging="105"/>
        <w:spacing w:line="500" w:lineRule="exact"/>
        <w:rPr>
          <w:rFonts w:ascii="宋体" w:hAnsi="宋体"/>
          <w:color w:val="auto"/>
          <w:szCs w:val="21"/>
          <w:highlight w:val="none"/>
        </w:rPr>
      </w:pPr>
      <w:r>
        <w:rPr>
          <w:rFonts w:hint="eastAsia" w:ascii="宋体" w:hAnsi="宋体"/>
          <w:color w:val="auto"/>
          <w:szCs w:val="21"/>
          <w:highlight w:val="none"/>
        </w:rPr>
        <w:t xml:space="preserve"> </w:t>
      </w:r>
      <w:r/>
    </w:p>
    <w:p>
      <w:pPr>
        <w:rPr>
          <w:rFonts w:ascii="宋体" w:hAnsi="宋体" w:cs="宋体"/>
          <w:color w:val="auto"/>
          <w:szCs w:val="21"/>
          <w:highlight w:val="none"/>
        </w:rPr>
      </w:pPr>
      <w:r>
        <w:rPr>
          <w:rFonts w:ascii="宋体" w:hAnsi="宋体" w:cs="宋体"/>
          <w:color w:val="auto"/>
          <w:szCs w:val="21"/>
          <w:highlight w:val="none"/>
        </w:rPr>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84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1.按照基本技术要求详细填列；</w:t>
      </w:r>
      <w:r/>
    </w:p>
    <w:p>
      <w:pPr>
        <w:ind w:firstLine="84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pStyle w:val="1223"/>
        <w:rPr>
          <w:color w:val="auto"/>
          <w:highlight w:val="none"/>
        </w:rPr>
      </w:pPr>
      <w:r>
        <w:rPr>
          <w:color w:val="auto"/>
          <w:highlight w:val="none"/>
        </w:rPr>
      </w:r>
      <w:r/>
    </w:p>
    <w:p>
      <w:pPr>
        <w:pStyle w:val="1223"/>
        <w:rPr>
          <w:color w:val="auto"/>
          <w:highlight w:val="none"/>
        </w:rPr>
      </w:pPr>
      <w:r>
        <w:rPr>
          <w:color w:val="auto"/>
          <w:highlight w:val="none"/>
        </w:rPr>
      </w:r>
      <w:r/>
    </w:p>
    <w:p>
      <w:pPr>
        <w:pStyle w:val="1223"/>
        <w:rPr>
          <w:color w:val="auto"/>
          <w:highlight w:val="none"/>
        </w:rPr>
      </w:pPr>
      <w:r>
        <w:rPr>
          <w:color w:val="auto"/>
          <w:highlight w:val="none"/>
        </w:rPr>
      </w:r>
      <w:r/>
    </w:p>
    <w:p>
      <w:pPr>
        <w:pStyle w:val="1223"/>
        <w:rPr>
          <w:color w:val="auto"/>
          <w:highlight w:val="none"/>
        </w:rPr>
      </w:pPr>
      <w:r>
        <w:rPr>
          <w:color w:val="auto"/>
          <w:highlight w:val="none"/>
        </w:rPr>
      </w:r>
      <w:r/>
    </w:p>
    <w:p>
      <w:pPr>
        <w:pStyle w:val="1223"/>
        <w:rPr>
          <w:color w:val="auto"/>
          <w:highlight w:val="none"/>
        </w:rPr>
      </w:pPr>
      <w:r>
        <w:rPr>
          <w:color w:val="auto"/>
          <w:highlight w:val="none"/>
        </w:rPr>
      </w:r>
      <w:r/>
    </w:p>
    <w:p>
      <w:pPr>
        <w:pStyle w:val="1223"/>
        <w:rPr>
          <w:color w:val="auto"/>
          <w:highlight w:val="none"/>
        </w:rPr>
      </w:pPr>
      <w:r>
        <w:rPr>
          <w:color w:val="auto"/>
          <w:highlight w:val="none"/>
        </w:rPr>
      </w:r>
      <w:r>
        <w:rPr>
          <w:color w:val="auto"/>
          <w:highlight w:val="none"/>
        </w:rPr>
      </w:r>
    </w:p>
    <w:p>
      <w:pPr>
        <w:pStyle w:val="1223"/>
        <w:rPr>
          <w:color w:val="auto"/>
          <w:highlight w:val="none"/>
        </w:rPr>
      </w:pPr>
      <w:r>
        <w:rPr>
          <w:color w:val="auto"/>
          <w:highlight w:val="none"/>
        </w:rPr>
      </w:r>
      <w:r>
        <w:rPr>
          <w:color w:val="auto"/>
          <w:highlight w:val="none"/>
        </w:rPr>
      </w:r>
    </w:p>
    <w:p>
      <w:pPr>
        <w:pStyle w:val="1223"/>
        <w:rPr>
          <w:color w:val="auto"/>
          <w:highlight w:val="none"/>
        </w:rPr>
      </w:pPr>
      <w:r>
        <w:rPr>
          <w:color w:val="auto"/>
          <w:highlight w:val="none"/>
        </w:rPr>
      </w:r>
      <w:r>
        <w:rPr>
          <w:color w:val="auto"/>
          <w:highlight w:val="none"/>
        </w:rPr>
      </w:r>
    </w:p>
    <w:p>
      <w:pPr>
        <w:pStyle w:val="1223"/>
        <w:rPr>
          <w:color w:val="auto"/>
          <w:highlight w:val="none"/>
        </w:rPr>
      </w:pPr>
      <w:r>
        <w:rPr>
          <w:color w:val="auto"/>
          <w:highlight w:val="none"/>
        </w:rPr>
      </w:r>
      <w:r/>
    </w:p>
    <w:p>
      <w:pPr>
        <w:pStyle w:val="1223"/>
        <w:rPr>
          <w:color w:val="auto"/>
          <w:highlight w:val="none"/>
        </w:rPr>
      </w:pPr>
      <w:r>
        <w:rPr>
          <w:color w:val="auto"/>
          <w:highlight w:val="none"/>
        </w:rPr>
      </w:r>
      <w:r/>
    </w:p>
    <w:p>
      <w:pPr>
        <w:pStyle w:val="1228"/>
        <w:rPr>
          <w:color w:val="auto"/>
          <w:highlight w:val="none"/>
        </w:rPr>
      </w:pPr>
      <w:r>
        <w:rPr>
          <w:color w:val="auto"/>
          <w:highlight w:val="none"/>
        </w:rPr>
      </w:r>
      <w:r/>
    </w:p>
    <w:p>
      <w:pPr>
        <w:pStyle w:val="1217"/>
        <w:spacing w:line="360" w:lineRule="exact"/>
        <w:rPr>
          <w:rFonts w:ascii="宋体" w:hAnsi="宋体"/>
          <w:color w:val="auto"/>
          <w:sz w:val="21"/>
          <w:szCs w:val="21"/>
          <w:highlight w:val="none"/>
        </w:rPr>
      </w:pPr>
      <w:r>
        <w:rPr>
          <w:rFonts w:hint="eastAsia" w:ascii="宋体" w:hAnsi="宋体"/>
          <w:b/>
          <w:bCs/>
          <w:color w:val="auto"/>
          <w:sz w:val="21"/>
          <w:szCs w:val="21"/>
          <w:highlight w:val="none"/>
        </w:rPr>
        <w:t xml:space="preserve">附件5：</w:t>
      </w:r>
      <w:r/>
    </w:p>
    <w:p>
      <w:pPr>
        <w:pStyle w:val="1217"/>
        <w:jc w:val="center"/>
        <w:spacing w:line="3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采购需求响应及偏离表</w:t>
      </w:r>
      <w:r/>
    </w:p>
    <w:p>
      <w:pPr>
        <w:rPr>
          <w:rFonts w:ascii="宋体" w:hAnsi="宋体" w:cs="宋体"/>
          <w:bCs/>
          <w:color w:val="auto"/>
          <w:szCs w:val="21"/>
          <w:highlight w:val="none"/>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rPr>
        <w:tab/>
      </w:r>
      <w:r>
        <w:rPr>
          <w:rFonts w:hint="eastAsia" w:ascii="宋体" w:hAnsi="宋体" w:cs="宋体"/>
          <w:bCs/>
          <w:color w:val="auto"/>
          <w:szCs w:val="21"/>
          <w:highlight w:val="none"/>
        </w:rPr>
        <w:t xml:space="preserve">                                       项目编号：</w:t>
      </w:r>
      <w:r/>
    </w:p>
    <w:tbl>
      <w:tblPr>
        <w:tblStyle w:val="1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852" w:type="dxa"/>
            <w:vAlign w:val="center"/>
            <w:textDirection w:val="lrTb"/>
            <w:noWrap w:val="false"/>
          </w:tcPr>
          <w:p>
            <w:pPr>
              <w:rPr>
                <w:rFonts w:ascii="宋体" w:hAnsi="宋体" w:cs="宋体"/>
                <w:color w:val="auto"/>
                <w:szCs w:val="21"/>
                <w:highlight w:val="none"/>
              </w:rPr>
            </w:pPr>
            <w:r>
              <w:rPr>
                <w:rFonts w:hint="eastAsia" w:ascii="宋体" w:hAnsi="宋体" w:cs="宋体"/>
                <w:color w:val="auto"/>
                <w:spacing w:val="15"/>
                <w:szCs w:val="21"/>
                <w:highlight w:val="none"/>
              </w:rPr>
              <w:t xml:space="preserve">磋商文件采购需求</w:t>
            </w:r>
            <w:r/>
          </w:p>
        </w:tc>
        <w:tc>
          <w:tcPr>
            <w:tcW w:w="2852" w:type="dxa"/>
            <w:vAlign w:val="center"/>
            <w:textDirection w:val="lrTb"/>
            <w:noWrap w:val="false"/>
          </w:tcPr>
          <w:p>
            <w:pPr>
              <w:ind w:firstLine="120"/>
              <w:rPr>
                <w:rFonts w:ascii="宋体" w:hAnsi="宋体" w:cs="宋体"/>
                <w:color w:val="auto"/>
                <w:szCs w:val="21"/>
                <w:highlight w:val="none"/>
              </w:rPr>
            </w:pPr>
            <w:r>
              <w:rPr>
                <w:rFonts w:hint="eastAsia" w:ascii="宋体" w:hAnsi="宋体" w:cs="宋体"/>
                <w:color w:val="auto"/>
                <w:spacing w:val="15"/>
                <w:szCs w:val="21"/>
                <w:highlight w:val="none"/>
              </w:rPr>
              <w:t xml:space="preserve">响应文件具体响应情况</w:t>
            </w:r>
            <w:r/>
          </w:p>
        </w:tc>
        <w:tc>
          <w:tcPr>
            <w:tcW w:w="1308"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超出、</w:t>
            </w:r>
            <w:r/>
          </w:p>
          <w:p>
            <w:pPr>
              <w:rPr>
                <w:rFonts w:ascii="宋体" w:hAnsi="宋体" w:cs="宋体"/>
                <w:color w:val="auto"/>
                <w:szCs w:val="21"/>
                <w:highlight w:val="none"/>
              </w:rPr>
            </w:pPr>
            <w:r>
              <w:rPr>
                <w:rFonts w:hint="eastAsia" w:ascii="宋体" w:hAnsi="宋体" w:cs="宋体"/>
                <w:color w:val="auto"/>
                <w:szCs w:val="21"/>
                <w:highlight w:val="none"/>
              </w:rPr>
              <w:t xml:space="preserve">符合或偏离</w:t>
            </w:r>
            <w:r/>
          </w:p>
        </w:tc>
        <w:tc>
          <w:tcPr>
            <w:tcW w:w="117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pStyle w:val="1228"/>
        <w:rPr>
          <w:color w:val="auto"/>
          <w:highlight w:val="none"/>
        </w:rPr>
      </w:pPr>
      <w:r>
        <w:rPr>
          <w:color w:val="auto"/>
          <w:highlight w:val="none"/>
        </w:rPr>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ind w:firstLine="420"/>
        <w:rPr>
          <w:rFonts w:ascii="宋体" w:hAnsi="宋体"/>
          <w:color w:val="auto"/>
          <w:szCs w:val="21"/>
          <w:highlight w:val="none"/>
        </w:rPr>
      </w:pPr>
      <w:r>
        <w:rPr>
          <w:rFonts w:ascii="宋体" w:hAnsi="宋体"/>
          <w:color w:val="auto"/>
          <w:szCs w:val="21"/>
          <w:highlight w:val="none"/>
        </w:rPr>
      </w:r>
      <w:r/>
    </w:p>
    <w:p>
      <w:pPr>
        <w:pStyle w:val="1217"/>
        <w:spacing w:line="36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bookmarkStart w:id="127" w:name="_Toc7415"/>
      <w:r/>
      <w:bookmarkEnd w:id="127"/>
      <w:r>
        <w:rPr>
          <w:rFonts w:hint="eastAsia" w:ascii="宋体" w:hAnsi="宋体"/>
          <w:b/>
          <w:bCs/>
          <w:color w:val="auto"/>
          <w:sz w:val="21"/>
          <w:szCs w:val="21"/>
          <w:highlight w:val="none"/>
        </w:rPr>
        <w:t xml:space="preserve">附件6：</w:t>
      </w:r>
      <w:r/>
    </w:p>
    <w:p>
      <w:pPr>
        <w:pStyle w:val="1223"/>
        <w:ind w:firstLine="3654"/>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t xml:space="preserve">磋商报价表</w:t>
      </w:r>
      <w:r/>
    </w:p>
    <w:p>
      <w:pPr>
        <w:pStyle w:val="1223"/>
        <w:jc w:val="center"/>
        <w:rPr>
          <w:rFonts w:cs="宋体" w:asciiTheme="minorEastAsia" w:hAnsiTheme="minorEastAsia" w:eastAsiaTheme="minorEastAsia"/>
          <w:b/>
          <w:bCs/>
          <w:color w:val="auto"/>
          <w:sz w:val="28"/>
          <w:szCs w:val="28"/>
          <w:highlight w:val="none"/>
        </w:rPr>
      </w:pPr>
      <w:r>
        <w:rPr>
          <w:rFonts w:cs="宋体" w:asciiTheme="minorEastAsia" w:hAnsiTheme="minorEastAsia" w:eastAsiaTheme="minorEastAsia"/>
          <w:b/>
          <w:bCs/>
          <w:color w:val="auto"/>
          <w:sz w:val="28"/>
          <w:szCs w:val="28"/>
          <w:highlight w:val="none"/>
        </w:rPr>
      </w:r>
      <w:r/>
    </w:p>
    <w:p>
      <w:pPr>
        <w:pStyle w:val="1223"/>
        <w:ind w:firstLine="0"/>
        <w:jc w:val="lef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本次为首次报价  </w:t>
      </w:r>
      <w:r>
        <w:rPr>
          <w:rFonts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 </w:t>
      </w:r>
      <w:r>
        <w:rPr>
          <w:rFonts w:cs="宋体" w:asciiTheme="minorEastAsia" w:hAnsiTheme="minorEastAsia" w:eastAsiaTheme="minorEastAsia"/>
          <w:color w:val="auto"/>
          <w:sz w:val="24"/>
          <w:szCs w:val="24"/>
          <w:highlight w:val="none"/>
        </w:rPr>
        <w:t xml:space="preserve">货币单位：人民币元</w:t>
      </w:r>
      <w:r/>
    </w:p>
    <w:p>
      <w:pPr>
        <w:pStyle w:val="1223"/>
        <w:ind w:firstLine="0"/>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项目编号：  </w:t>
      </w:r>
      <w:r/>
    </w:p>
    <w:tbl>
      <w:tblPr>
        <w:tblStyle w:val="1219"/>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736"/>
        <w:gridCol w:w="2731"/>
        <w:gridCol w:w="4104"/>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223"/>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223"/>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223"/>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223"/>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223"/>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223"/>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223"/>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1223"/>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金额大写 </w:t>
            </w:r>
            <w:r/>
          </w:p>
        </w:tc>
      </w:tr>
    </w:tbl>
    <w:p>
      <w:pPr>
        <w:pStyle w:val="1223"/>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报价说明：</w:t>
      </w:r>
      <w:r/>
    </w:p>
    <w:p>
      <w:pPr>
        <w:pStyle w:val="1223"/>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1.</w:t>
      </w:r>
      <w:r>
        <w:rPr>
          <w:rFonts w:cs="宋体" w:asciiTheme="minorEastAsia" w:hAnsiTheme="minorEastAsia" w:eastAsiaTheme="minorEastAsia"/>
          <w:color w:val="auto"/>
          <w:sz w:val="24"/>
          <w:szCs w:val="24"/>
          <w:highlight w:val="none"/>
        </w:rPr>
        <w:t xml:space="preserve">报价包括完成项目的所有费用。采购人不再支付报价以外的任何费用。</w:t>
      </w:r>
      <w:r/>
    </w:p>
    <w:p>
      <w:pPr>
        <w:pStyle w:val="1223"/>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2.</w:t>
      </w:r>
      <w:r>
        <w:rPr>
          <w:rFonts w:cs="宋体" w:asciiTheme="minorEastAsia" w:hAnsiTheme="minorEastAsia" w:eastAsiaTheme="minorEastAsia"/>
          <w:color w:val="auto"/>
          <w:sz w:val="24"/>
          <w:szCs w:val="24"/>
          <w:highlight w:val="none"/>
        </w:rPr>
        <w:t xml:space="preserve">报价以总价为准，大小写不一致以大写为准；</w:t>
      </w:r>
      <w:r/>
    </w:p>
    <w:p>
      <w:pPr>
        <w:pStyle w:val="1223"/>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3.</w:t>
      </w:r>
      <w:r>
        <w:rPr>
          <w:rFonts w:cs="宋体" w:asciiTheme="minorEastAsia" w:hAnsiTheme="minorEastAsia" w:eastAsiaTheme="minorEastAsia"/>
          <w:color w:val="auto"/>
          <w:sz w:val="24"/>
          <w:szCs w:val="24"/>
          <w:highlight w:val="none"/>
        </w:rPr>
        <w:t xml:space="preserve">偏离说明：详见《偏离表》；</w:t>
      </w:r>
      <w:r/>
    </w:p>
    <w:p>
      <w:pPr>
        <w:pStyle w:val="1223"/>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eastAsia="zh-CN"/>
        </w:rPr>
        <w:t xml:space="preserve">4.</w:t>
      </w:r>
      <w:r>
        <w:rPr>
          <w:rFonts w:cs="宋体" w:asciiTheme="minorEastAsia" w:hAnsiTheme="minorEastAsia" w:eastAsiaTheme="minorEastAsia"/>
          <w:color w:val="auto"/>
          <w:sz w:val="24"/>
          <w:szCs w:val="24"/>
          <w:highlight w:val="none"/>
        </w:rPr>
        <w:t xml:space="preserve">如最后报价未列明单价，则最后所报各项单价计算方法为：（最后报价/ 最初报价）* 各项最初报价的单价。</w:t>
      </w:r>
      <w:r/>
    </w:p>
    <w:p>
      <w:pPr>
        <w:pStyle w:val="1223"/>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供应商（电子签章）：</w:t>
      </w:r>
      <w:r/>
    </w:p>
    <w:p>
      <w:pPr>
        <w:pStyle w:val="1223"/>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 </w:t>
      </w:r>
      <w:r/>
    </w:p>
    <w:p>
      <w:pPr>
        <w:pStyle w:val="1223"/>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 </w:t>
      </w:r>
      <w:r/>
    </w:p>
    <w:p>
      <w:pPr>
        <w:pStyle w:val="1223"/>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日期：  年  月   日</w:t>
      </w:r>
      <w:r/>
    </w:p>
    <w:p>
      <w:pPr>
        <w:pStyle w:val="1223"/>
        <w:rPr>
          <w:color w:val="auto"/>
          <w:highlight w:val="none"/>
        </w:rPr>
      </w:pPr>
      <w:r>
        <w:rPr>
          <w:color w:val="auto"/>
          <w:highlight w:val="none"/>
        </w:rPr>
      </w:r>
      <w:r/>
    </w:p>
    <w:p>
      <w:pPr>
        <w:rPr>
          <w:color w:val="auto"/>
          <w:highlight w:val="none"/>
        </w:rPr>
      </w:pPr>
      <w:r>
        <w:rPr>
          <w:color w:val="auto"/>
          <w:highlight w:val="none"/>
        </w:rPr>
        <w:br w:type="page" w:clear="all"/>
      </w:r>
      <w:r/>
    </w:p>
    <w:p>
      <w:pPr>
        <w:pStyle w:val="1228"/>
        <w:rPr>
          <w:color w:val="auto"/>
          <w:highlight w:val="none"/>
        </w:rPr>
        <w:sectPr>
          <w:footerReference w:type="default" r:id="rId17"/>
          <w:footerReference w:type="first" r:id="rId18"/>
          <w:footnotePr/>
          <w:endnotePr/>
          <w:type w:val="nextPage"/>
          <w:pgSz w:w="11906" w:h="16838" w:orient="portrait"/>
          <w:pgMar w:top="1015" w:right="1196" w:bottom="868" w:left="1259" w:header="851" w:footer="907" w:gutter="0"/>
          <w:cols w:num="1" w:sep="0" w:space="720" w:equalWidth="1"/>
          <w:docGrid w:linePitch="360"/>
          <w:titlePg/>
        </w:sectPr>
      </w:pPr>
      <w:r>
        <w:rPr>
          <w:color w:val="auto"/>
          <w:highlight w:val="none"/>
        </w:rPr>
      </w:r>
      <w:r/>
    </w:p>
    <w:p>
      <w:pPr>
        <w:ind w:firstLine="3373"/>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分项报价表（格式自拟）</w:t>
      </w:r>
      <w:r/>
    </w:p>
    <w:p>
      <w:pPr>
        <w:ind w:firstLine="210"/>
        <w:jc w:val="left"/>
        <w:spacing w:line="360" w:lineRule="auto"/>
        <w:widowControl/>
        <w:rPr>
          <w:rFonts w:ascii="宋体" w:hAnsi="宋体"/>
          <w:color w:val="auto"/>
          <w:szCs w:val="21"/>
          <w:highlight w:val="none"/>
        </w:rPr>
      </w:pPr>
      <w:r>
        <w:rPr>
          <w:rFonts w:ascii="宋体" w:hAnsi="宋体"/>
          <w:color w:val="auto"/>
          <w:szCs w:val="21"/>
          <w:highlight w:val="none"/>
        </w:rPr>
      </w:r>
      <w:r/>
    </w:p>
    <w:p>
      <w:pPr>
        <w:pStyle w:val="1235"/>
        <w:spacing w:line="360" w:lineRule="auto"/>
        <w:rPr>
          <w:color w:val="auto"/>
          <w:highlight w:val="none"/>
        </w:rPr>
      </w:pPr>
      <w:r>
        <w:rPr>
          <w:color w:val="auto"/>
          <w:highlight w:val="none"/>
        </w:rPr>
      </w:r>
      <w:r/>
    </w:p>
    <w:p>
      <w:pPr>
        <w:jc w:val="center"/>
        <w:tabs>
          <w:tab w:val="center" w:pos="4725" w:leader="none"/>
        </w:tabs>
        <w:rPr>
          <w:rFonts w:ascii="宋体" w:hAnsi="宋体"/>
          <w:color w:val="auto"/>
          <w:sz w:val="28"/>
          <w:highlight w:val="none"/>
        </w:rPr>
      </w:pPr>
      <w:r>
        <w:rPr>
          <w:rFonts w:ascii="宋体" w:hAnsi="宋体"/>
          <w:color w:val="auto"/>
          <w:sz w:val="28"/>
          <w:highlight w:val="none"/>
        </w:rPr>
      </w:r>
      <w:r/>
    </w:p>
    <w:p>
      <w:pPr>
        <w:jc w:val="center"/>
        <w:tabs>
          <w:tab w:val="center" w:pos="4725" w:leader="none"/>
        </w:tabs>
        <w:rPr>
          <w:rFonts w:ascii="宋体" w:hAnsi="宋体"/>
          <w:color w:val="auto"/>
          <w:sz w:val="28"/>
          <w:highlight w:val="none"/>
        </w:rPr>
      </w:pPr>
      <w:r>
        <w:rPr>
          <w:rFonts w:ascii="宋体" w:hAnsi="宋体"/>
          <w:color w:val="auto"/>
          <w:sz w:val="28"/>
          <w:highlight w:val="none"/>
        </w:rPr>
      </w:r>
      <w:r/>
    </w:p>
    <w:p>
      <w:pPr>
        <w:jc w:val="center"/>
        <w:tabs>
          <w:tab w:val="center" w:pos="4725" w:leader="none"/>
        </w:tabs>
        <w:rPr>
          <w:rFonts w:ascii="宋体" w:hAnsi="宋体"/>
          <w:color w:val="auto"/>
          <w:sz w:val="28"/>
          <w:highlight w:val="none"/>
        </w:rPr>
      </w:pPr>
      <w:r>
        <w:rPr>
          <w:rFonts w:hint="eastAsia" w:ascii="宋体" w:hAnsi="宋体"/>
          <w:color w:val="auto"/>
          <w:sz w:val="28"/>
          <w:highlight w:val="none"/>
        </w:rPr>
        <w:t xml:space="preserve">二次响应报价表（参考）</w:t>
      </w:r>
      <w:r/>
    </w:p>
    <w:p>
      <w:pPr>
        <w:jc w:val="center"/>
        <w:rPr>
          <w:rFonts w:ascii="宋体" w:hAnsi="宋体"/>
          <w:color w:val="auto"/>
          <w:sz w:val="44"/>
          <w:szCs w:val="44"/>
          <w:highlight w:val="none"/>
        </w:rPr>
      </w:pPr>
      <w:r>
        <w:rPr>
          <w:rFonts w:ascii="宋体" w:hAnsi="宋体"/>
          <w:color w:val="auto"/>
          <w:sz w:val="44"/>
          <w:szCs w:val="44"/>
          <w:highlight w:val="none"/>
        </w:rPr>
      </w:r>
      <w:r/>
    </w:p>
    <w:p>
      <w:pPr>
        <w:pStyle w:val="1226"/>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项目名称：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1219"/>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7"/>
        <w:gridCol w:w="7076"/>
      </w:tblGrid>
      <w:tr>
        <w:trPr>
          <w:cantSplit/>
          <w:jc w:val="center"/>
          <w:trHeight w:val="1890"/>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color w:val="auto"/>
                <w:szCs w:val="21"/>
                <w:highlight w:val="none"/>
              </w:rPr>
            </w:pPr>
            <w:r>
              <w:rPr>
                <w:rFonts w:hint="eastAsia"/>
                <w:color w:val="auto"/>
                <w:szCs w:val="21"/>
                <w:highlight w:val="none"/>
              </w:rPr>
              <w:t xml:space="preserve">总</w:t>
            </w:r>
            <w:r>
              <w:rPr>
                <w:color w:val="auto"/>
                <w:szCs w:val="21"/>
                <w:highlight w:val="none"/>
              </w:rPr>
              <w:t xml:space="preserve">投标报价</w:t>
            </w:r>
            <w:r/>
          </w:p>
          <w:p>
            <w:pPr>
              <w:jc w:val="center"/>
              <w:spacing w:before="120" w:after="120"/>
              <w:rPr>
                <w:color w:val="auto"/>
                <w:szCs w:val="21"/>
                <w:highlight w:val="none"/>
                <w:shd w:val="clear" w:color="auto" w:fill="ffffff"/>
              </w:rPr>
            </w:pPr>
            <w:r>
              <w:rPr>
                <w:color w:val="auto"/>
                <w:szCs w:val="21"/>
                <w:highlight w:val="none"/>
                <w:shd w:val="clear" w:color="auto" w:fill="ffffff"/>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color w:val="auto"/>
                <w:szCs w:val="21"/>
                <w:highlight w:val="none"/>
              </w:rPr>
            </w:pPr>
            <w:r>
              <w:rPr>
                <w:color w:val="auto"/>
                <w:szCs w:val="21"/>
                <w:highlight w:val="none"/>
              </w:rPr>
              <w:t xml:space="preserve">人民币</w:t>
            </w:r>
            <w:r>
              <w:rPr>
                <w:rFonts w:hint="eastAsia"/>
                <w:color w:val="auto"/>
                <w:szCs w:val="21"/>
                <w:highlight w:val="none"/>
              </w:rPr>
              <w:t xml:space="preserve">（</w:t>
            </w:r>
            <w:r>
              <w:rPr>
                <w:color w:val="auto"/>
                <w:szCs w:val="21"/>
                <w:highlight w:val="none"/>
              </w:rPr>
              <w:t xml:space="preserve">大写</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元</w:t>
            </w:r>
            <w:r/>
          </w:p>
          <w:p>
            <w:pPr>
              <w:spacing w:before="120" w:after="120"/>
              <w:rPr>
                <w:color w:val="auto"/>
                <w:szCs w:val="21"/>
                <w:highlight w:val="none"/>
              </w:rPr>
            </w:pPr>
            <w:r>
              <w:rPr>
                <w:color w:val="auto"/>
                <w:szCs w:val="21"/>
                <w:highlight w:val="none"/>
              </w:rPr>
              <w:t xml:space="preserve">人民币</w:t>
            </w:r>
            <w:r>
              <w:rPr>
                <w:rFonts w:hint="eastAsia"/>
                <w:color w:val="auto"/>
                <w:szCs w:val="21"/>
                <w:highlight w:val="none"/>
              </w:rPr>
              <w:t xml:space="preserve">（小</w:t>
            </w:r>
            <w:r>
              <w:rPr>
                <w:color w:val="auto"/>
                <w:szCs w:val="21"/>
                <w:highlight w:val="none"/>
              </w:rPr>
              <w:t xml:space="preserve">写</w:t>
            </w:r>
            <w:r>
              <w:rPr>
                <w:rFonts w:hint="eastAsia"/>
                <w:color w:val="auto"/>
                <w:szCs w:val="21"/>
                <w:highlight w:val="none"/>
              </w:rPr>
              <w:t xml:space="preserve">）</w:t>
            </w:r>
            <w:r>
              <w:rPr>
                <w:color w:val="auto"/>
                <w:szCs w:val="21"/>
                <w:highlight w:val="none"/>
              </w:rPr>
              <w:t xml:space="preserve">￥</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元</w:t>
            </w:r>
            <w:r/>
          </w:p>
        </w:tc>
      </w:tr>
      <w:tr>
        <w:trPr>
          <w:jc w:val="center"/>
          <w:trHeight w:val="894"/>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rFonts w:ascii="宋体" w:hAnsi="宋体" w:cs="宋体"/>
                <w:color w:val="auto"/>
                <w:szCs w:val="21"/>
                <w:highlight w:val="none"/>
                <w:shd w:val="clear" w:color="auto" w:fill="ffffff"/>
              </w:rPr>
            </w:pPr>
            <w:r>
              <w:rPr>
                <w:rFonts w:hint="eastAsia"/>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法定代表人或者授权代表（签字或盖章）：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磋商供应商全称（加盖CA电子公章）：</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p>
      <w:pPr>
        <w:spacing w:line="500" w:lineRule="exact"/>
        <w:rPr>
          <w:rFonts w:ascii="宋体" w:hAnsi="宋体"/>
          <w:color w:val="auto"/>
          <w:szCs w:val="21"/>
          <w:highlight w:val="none"/>
        </w:rPr>
      </w:pPr>
      <w:r>
        <w:rPr>
          <w:rFonts w:hint="eastAsia" w:ascii="宋体" w:hAnsi="宋体"/>
          <w:b/>
          <w:color w:val="auto"/>
          <w:szCs w:val="21"/>
          <w:highlight w:val="none"/>
        </w:rPr>
        <w:t xml:space="preserve">注：</w:t>
      </w:r>
      <w:r>
        <w:rPr>
          <w:rFonts w:hint="eastAsia" w:ascii="宋体" w:hAnsi="宋体"/>
          <w:b/>
          <w:bCs/>
          <w:color w:val="auto"/>
          <w:szCs w:val="21"/>
          <w:highlight w:val="none"/>
        </w:rPr>
        <w:t xml:space="preserve">其中各分项报价按照初次响应文件的投标总价与最终承诺报价同比例下浮。</w:t>
      </w:r>
      <w:r/>
    </w:p>
    <w:p>
      <w:pPr>
        <w:rPr>
          <w:rFonts w:ascii="宋体" w:hAnsi="宋体"/>
          <w:b/>
          <w:bCs/>
          <w:color w:val="auto"/>
          <w:szCs w:val="21"/>
          <w:highlight w:val="none"/>
        </w:rPr>
      </w:pPr>
      <w:r>
        <w:rPr>
          <w:rFonts w:hint="eastAsia" w:ascii="宋体" w:hAnsi="宋体"/>
          <w:b/>
          <w:bCs/>
          <w:color w:val="auto"/>
          <w:szCs w:val="21"/>
          <w:highlight w:val="none"/>
        </w:rPr>
        <w:br w:type="page" w:clear="all"/>
      </w:r>
      <w:r/>
    </w:p>
    <w:p>
      <w:pPr>
        <w:rPr>
          <w:rFonts w:ascii="宋体" w:hAnsi="宋体"/>
          <w:color w:val="auto"/>
          <w:szCs w:val="21"/>
          <w:highlight w:val="none"/>
        </w:rPr>
      </w:pPr>
      <w:r>
        <w:rPr>
          <w:rFonts w:hint="eastAsia" w:ascii="宋体" w:hAnsi="宋体"/>
          <w:b/>
          <w:bCs/>
          <w:color w:val="auto"/>
          <w:szCs w:val="21"/>
          <w:highlight w:val="none"/>
        </w:rPr>
        <w:t xml:space="preserve">附件7：</w:t>
      </w:r>
      <w:r>
        <w:rPr>
          <w:rFonts w:hint="eastAsia" w:ascii="宋体" w:hAnsi="宋体"/>
          <w:color w:val="auto"/>
          <w:szCs w:val="21"/>
          <w:highlight w:val="none"/>
        </w:rPr>
        <w:t xml:space="preserve">        </w:t>
      </w:r>
      <w:r/>
    </w:p>
    <w:p>
      <w:pPr>
        <w:rPr>
          <w:rFonts w:ascii="宋体" w:hAnsi="宋体"/>
          <w:color w:val="auto"/>
          <w:szCs w:val="21"/>
          <w:highlight w:val="none"/>
        </w:rPr>
      </w:pPr>
      <w:r>
        <w:rPr>
          <w:rFonts w:hint="eastAsia" w:ascii="宋体" w:hAnsi="宋体"/>
          <w:b/>
          <w:bCs/>
          <w:color w:val="auto"/>
          <w:sz w:val="28"/>
          <w:szCs w:val="28"/>
          <w:highlight w:val="none"/>
        </w:rPr>
        <w:t xml:space="preserve">具备履行合同所必需的设备和专业技术能力的证明材料（格式自定）</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ind w:firstLine="480"/>
        <w:jc w:val="center"/>
        <w:spacing w:line="360" w:lineRule="auto"/>
        <w:rPr>
          <w:rFonts w:ascii="宋体" w:hAnsi="宋体"/>
          <w:color w:val="auto"/>
          <w:szCs w:val="21"/>
          <w:highlight w:val="none"/>
        </w:rPr>
      </w:pPr>
      <w:r>
        <w:rPr>
          <w:rFonts w:ascii="宋体" w:hAnsi="宋体"/>
          <w:color w:val="auto"/>
          <w:szCs w:val="21"/>
          <w:highlight w:val="none"/>
        </w:rPr>
      </w:r>
      <w:r/>
    </w:p>
    <w:p>
      <w:pPr>
        <w:ind w:firstLine="480"/>
        <w:jc w:val="center"/>
        <w:spacing w:line="360" w:lineRule="auto"/>
        <w:rPr>
          <w:rFonts w:ascii="宋体" w:hAnsi="宋体"/>
          <w:color w:val="auto"/>
          <w:szCs w:val="21"/>
          <w:highlight w:val="none"/>
        </w:rPr>
      </w:pPr>
      <w:r>
        <w:rPr>
          <w:rFonts w:ascii="宋体" w:hAnsi="宋体"/>
          <w:color w:val="auto"/>
          <w:szCs w:val="21"/>
          <w:highlight w:val="none"/>
        </w:rPr>
      </w:r>
      <w:r/>
    </w:p>
    <w:p>
      <w:pPr>
        <w:ind w:firstLine="480"/>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 w:val="28"/>
          <w:szCs w:val="28"/>
          <w:highlight w:val="none"/>
        </w:rPr>
      </w:pPr>
      <w:r/>
      <w:bookmarkStart w:id="128" w:name="_Toc12582"/>
      <w:r/>
      <w:bookmarkEnd w:id="128"/>
      <w:r>
        <w:rPr>
          <w:rFonts w:hint="eastAsia" w:ascii="宋体" w:hAnsi="宋体"/>
          <w:b/>
          <w:bCs/>
          <w:color w:val="auto"/>
          <w:szCs w:val="21"/>
          <w:highlight w:val="none"/>
        </w:rPr>
        <w:t xml:space="preserve">附件8：</w:t>
      </w:r>
      <w:r>
        <w:rPr>
          <w:rFonts w:hint="eastAsia" w:ascii="宋体" w:hAnsi="宋体" w:cs="宋体"/>
          <w:color w:val="auto"/>
          <w:szCs w:val="21"/>
          <w:highlight w:val="none"/>
        </w:rPr>
        <w:t xml:space="preserve"> </w:t>
      </w:r>
      <w:r>
        <w:rPr>
          <w:rFonts w:hint="eastAsia" w:ascii="宋体" w:hAnsi="宋体" w:cs="宋体"/>
          <w:color w:val="auto"/>
          <w:sz w:val="28"/>
          <w:szCs w:val="28"/>
          <w:highlight w:val="none"/>
        </w:rPr>
        <w:t xml:space="preserve"> </w:t>
      </w:r>
      <w:r/>
    </w:p>
    <w:p>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参加政府采购活动前3年内在经营活动中没有重大违法记录的书面声明(参考格式)</w:t>
      </w:r>
      <w:r/>
    </w:p>
    <w:p>
      <w:pPr>
        <w:jc w:val="lef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center"/>
        <w:spacing w:line="420" w:lineRule="exact"/>
        <w:rPr>
          <w:rFonts w:ascii="宋体" w:hAnsi="宋体"/>
          <w:b/>
          <w:bCs/>
          <w:color w:val="auto"/>
          <w:szCs w:val="21"/>
          <w:highlight w:val="none"/>
        </w:rPr>
      </w:pPr>
      <w:r>
        <w:rPr>
          <w:rFonts w:hint="eastAsia" w:ascii="宋体" w:hAnsi="宋体"/>
          <w:b/>
          <w:bCs/>
          <w:color w:val="auto"/>
          <w:szCs w:val="21"/>
          <w:highlight w:val="none"/>
        </w:rPr>
        <w:t xml:space="preserve">声 明</w:t>
      </w:r>
      <w:r/>
    </w:p>
    <w:p>
      <w:pPr>
        <w:ind w:firstLine="415"/>
        <w:jc w:val="left"/>
        <w:spacing w:line="420" w:lineRule="exact"/>
        <w:rPr>
          <w:rFonts w:ascii="宋体" w:hAnsi="宋体"/>
          <w:color w:val="auto"/>
          <w:szCs w:val="21"/>
          <w:highlight w:val="none"/>
        </w:rPr>
      </w:pPr>
      <w:r>
        <w:rPr>
          <w:rFonts w:hint="eastAsia" w:ascii="宋体" w:hAnsi="宋体"/>
          <w:color w:val="auto"/>
          <w:szCs w:val="21"/>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center"/>
        <w:spacing w:line="420" w:lineRule="exact"/>
        <w:rPr>
          <w:rFonts w:ascii="宋体" w:hAnsi="宋体"/>
          <w:color w:val="auto"/>
          <w:szCs w:val="21"/>
          <w:highlight w:val="none"/>
        </w:rPr>
      </w:pPr>
      <w:r>
        <w:rPr>
          <w:rFonts w:hint="eastAsia" w:ascii="宋体" w:hAnsi="宋体"/>
          <w:color w:val="auto"/>
          <w:szCs w:val="21"/>
          <w:highlight w:val="none"/>
        </w:rPr>
        <w:t xml:space="preserve">                供应商名称（加盖CA电子公章）：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ind w:right="600" w:firstLine="3675"/>
        <w:jc w:val="left"/>
        <w:spacing w:line="420" w:lineRule="exact"/>
        <w:rPr>
          <w:rFonts w:ascii="宋体" w:hAnsi="宋体"/>
          <w:color w:val="auto"/>
          <w:szCs w:val="21"/>
          <w:highlight w:val="none"/>
        </w:rPr>
      </w:pPr>
      <w:r>
        <w:rPr>
          <w:rFonts w:hint="eastAsia" w:ascii="宋体" w:hAnsi="宋体"/>
          <w:color w:val="auto"/>
          <w:szCs w:val="21"/>
          <w:highlight w:val="none"/>
        </w:rPr>
        <w:t xml:space="preserve">法定代表人（授权代表）签字或盖章：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jc w:val="right"/>
        <w:spacing w:line="42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jc w:val="right"/>
        <w:spacing w:line="420" w:lineRule="exact"/>
        <w:rPr>
          <w:rFonts w:ascii="宋体" w:hAnsi="宋体"/>
          <w:color w:val="auto"/>
          <w:sz w:val="24"/>
          <w:highlight w:val="none"/>
        </w:rPr>
      </w:pPr>
      <w:r>
        <w:rPr>
          <w:rFonts w:hint="eastAsia" w:ascii="宋体" w:hAnsi="宋体"/>
          <w:color w:val="auto"/>
          <w:szCs w:val="21"/>
          <w:highlight w:val="none"/>
        </w:rPr>
        <w:t xml:space="preserve">日    期：       年    月    日 </w:t>
      </w:r>
      <w:r>
        <w:rPr>
          <w:rFonts w:hint="eastAsia" w:ascii="宋体" w:hAnsi="宋体"/>
          <w:color w:val="auto"/>
          <w:sz w:val="24"/>
          <w:highlight w:val="none"/>
        </w:rPr>
        <w:t xml:space="preserve">                       </w:t>
      </w:r>
      <w:r/>
    </w:p>
    <w:p>
      <w:pPr>
        <w:rPr>
          <w:rFonts w:ascii="宋体" w:hAnsi="宋体" w:cs="宋体"/>
          <w:color w:val="auto"/>
          <w:szCs w:val="21"/>
          <w:highlight w:val="none"/>
        </w:rPr>
      </w:pPr>
      <w:r>
        <w:rPr>
          <w:rFonts w:hint="eastAsia" w:ascii="宋体" w:hAnsi="宋体" w:cs="宋体"/>
          <w:color w:val="auto"/>
          <w:szCs w:val="21"/>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rPr>
          <w:rFonts w:ascii="宋体" w:hAnsi="宋体" w:cs="宋体"/>
          <w:color w:val="auto"/>
          <w:sz w:val="24"/>
          <w:highlight w:val="none"/>
        </w:rPr>
      </w:pPr>
      <w:r>
        <w:rPr>
          <w:rFonts w:hint="eastAsia" w:ascii="宋体" w:hAnsi="宋体" w:cs="宋体"/>
          <w:color w:val="auto"/>
          <w:sz w:val="24"/>
          <w:highlight w:val="none"/>
        </w:rPr>
        <w:t xml:space="preserve"> </w:t>
      </w:r>
      <w:r/>
    </w:p>
    <w:p>
      <w:pPr>
        <w:pStyle w:val="1235"/>
        <w:rPr>
          <w:color w:val="auto"/>
          <w:highlight w:val="none"/>
        </w:rPr>
      </w:pPr>
      <w:r>
        <w:rPr>
          <w:color w:val="auto"/>
          <w:highlight w:val="none"/>
        </w:rPr>
      </w:r>
      <w:r>
        <w:rPr>
          <w:color w:val="auto"/>
          <w:highlight w:val="none"/>
        </w:rPr>
      </w:r>
    </w:p>
    <w:p>
      <w:pPr>
        <w:pStyle w:val="1235"/>
        <w:rPr>
          <w:color w:val="auto"/>
          <w:highlight w:val="none"/>
        </w:rPr>
      </w:pPr>
      <w:r>
        <w:rPr>
          <w:color w:val="auto"/>
          <w:highlight w:val="none"/>
        </w:rPr>
      </w:r>
      <w:r>
        <w:rPr>
          <w:color w:val="auto"/>
          <w:highlight w:val="none"/>
        </w:rPr>
      </w:r>
    </w:p>
    <w:p>
      <w:pPr>
        <w:pStyle w:val="1235"/>
        <w:rPr>
          <w:color w:val="auto"/>
          <w:highlight w:val="none"/>
        </w:rPr>
      </w:pPr>
      <w:r>
        <w:rPr>
          <w:color w:val="auto"/>
          <w:highlight w:val="none"/>
        </w:rPr>
      </w:r>
      <w:r>
        <w:rPr>
          <w:color w:val="auto"/>
          <w:highlight w:val="none"/>
        </w:rPr>
      </w:r>
    </w:p>
    <w:p>
      <w:pPr>
        <w:pStyle w:val="1235"/>
        <w:rPr>
          <w:color w:val="auto"/>
          <w:highlight w:val="none"/>
        </w:rPr>
      </w:pPr>
      <w:r>
        <w:rPr>
          <w:color w:val="auto"/>
          <w:highlight w:val="none"/>
        </w:rPr>
      </w:r>
      <w:r>
        <w:rPr>
          <w:color w:val="auto"/>
          <w:highlight w:val="none"/>
        </w:rPr>
      </w:r>
    </w:p>
    <w:p>
      <w:pPr>
        <w:pStyle w:val="1235"/>
        <w:rPr>
          <w:color w:val="auto"/>
          <w:highlight w:val="none"/>
        </w:rPr>
      </w:pPr>
      <w:r>
        <w:rPr>
          <w:color w:val="auto"/>
          <w:highlight w:val="none"/>
        </w:rPr>
      </w:r>
      <w:r>
        <w:rPr>
          <w:color w:val="auto"/>
          <w:highlight w:val="none"/>
        </w:rPr>
      </w:r>
    </w:p>
    <w:p>
      <w:pPr>
        <w:pStyle w:val="1235"/>
        <w:rPr>
          <w:color w:val="auto"/>
          <w:highlight w:val="none"/>
        </w:rPr>
      </w:pPr>
      <w:r>
        <w:rPr>
          <w:color w:val="auto"/>
          <w:highlight w:val="none"/>
        </w:rPr>
      </w:r>
      <w:r/>
    </w:p>
    <w:p>
      <w:pPr>
        <w:spacing w:line="440" w:lineRule="exact"/>
        <w:rPr>
          <w:rFonts w:ascii="宋体" w:hAnsi="宋体"/>
          <w:b/>
          <w:bCs/>
          <w:color w:val="auto"/>
          <w:szCs w:val="21"/>
          <w:highlight w:val="none"/>
        </w:rPr>
        <w:outlineLvl w:val="0"/>
      </w:pPr>
      <w:r/>
      <w:bookmarkStart w:id="129" w:name="_Toc8291"/>
      <w:r/>
      <w:bookmarkEnd w:id="129"/>
      <w:r>
        <w:rPr>
          <w:rFonts w:hint="eastAsia" w:ascii="宋体" w:hAnsi="宋体"/>
          <w:b/>
          <w:bCs/>
          <w:color w:val="auto"/>
          <w:szCs w:val="21"/>
          <w:highlight w:val="none"/>
        </w:rPr>
        <w:t xml:space="preserve">附件</w:t>
      </w:r>
      <w:bookmarkStart w:id="130" w:name="_Toc528398513"/>
      <w:r/>
      <w:bookmarkEnd w:id="130"/>
      <w:r>
        <w:rPr>
          <w:rFonts w:hint="eastAsia" w:ascii="宋体" w:hAnsi="宋体"/>
          <w:b/>
          <w:bCs/>
          <w:color w:val="auto"/>
          <w:szCs w:val="21"/>
          <w:highlight w:val="none"/>
        </w:rPr>
        <w:t xml:space="preserve">9：</w:t>
      </w:r>
      <w:r/>
    </w:p>
    <w:p>
      <w:pPr>
        <w:jc w:val="center"/>
        <w:spacing w:line="440" w:lineRule="exact"/>
        <w:rPr>
          <w:rFonts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中小企业声明函</w:t>
      </w:r>
      <w:r/>
    </w:p>
    <w:p>
      <w:pPr>
        <w:ind w:firstLine="645"/>
        <w:rPr>
          <w:rFonts w:ascii="宋体" w:hAnsi="宋体"/>
          <w:color w:val="auto"/>
          <w:sz w:val="32"/>
          <w:szCs w:val="32"/>
          <w:highlight w:val="none"/>
        </w:rPr>
      </w:pPr>
      <w:r>
        <w:rPr>
          <w:rFonts w:ascii="宋体" w:hAnsi="宋体"/>
          <w:color w:val="auto"/>
          <w:sz w:val="32"/>
          <w:szCs w:val="32"/>
          <w:highlight w:val="none"/>
        </w:rPr>
      </w:r>
      <w:r/>
    </w:p>
    <w:p>
      <w:pPr>
        <w:ind w:firstLine="720"/>
        <w:jc w:val="left"/>
        <w:spacing w:line="480" w:lineRule="auto"/>
        <w:rPr>
          <w:rFonts w:eastAsia="仿宋"/>
          <w:color w:val="auto"/>
          <w:sz w:val="24"/>
          <w:highlight w:val="none"/>
        </w:rPr>
      </w:pPr>
      <w:r>
        <w:rPr>
          <w:rFonts w:hAnsi="仿宋" w:eastAsia="仿宋"/>
          <w:color w:val="auto"/>
          <w:sz w:val="24"/>
          <w:highlight w:val="none"/>
        </w:rPr>
        <w:t xml:space="preserve">本公司</w:t>
      </w:r>
      <w:r>
        <w:rPr>
          <w:rFonts w:hint="eastAsia" w:hAnsi="仿宋" w:eastAsia="仿宋"/>
          <w:color w:val="auto"/>
          <w:sz w:val="24"/>
          <w:highlight w:val="none"/>
        </w:rPr>
        <w:t xml:space="preserve">（联合体）</w:t>
      </w:r>
      <w:r>
        <w:rPr>
          <w:rFonts w:hAnsi="仿宋" w:eastAsia="仿宋"/>
          <w:color w:val="auto"/>
          <w:sz w:val="24"/>
          <w:highlight w:val="none"/>
        </w:rPr>
        <w:t xml:space="preserve">郑重声明，根据《政府采购促进中小企业发展管理办法》（财库﹝</w:t>
      </w:r>
      <w:r>
        <w:rPr>
          <w:rFonts w:eastAsia="仿宋"/>
          <w:color w:val="auto"/>
          <w:sz w:val="24"/>
          <w:highlight w:val="none"/>
        </w:rPr>
        <w:t xml:space="preserve">2020</w:t>
      </w:r>
      <w:r>
        <w:rPr>
          <w:rFonts w:hAnsi="仿宋" w:eastAsia="仿宋"/>
          <w:color w:val="auto"/>
          <w:sz w:val="24"/>
          <w:highlight w:val="none"/>
        </w:rPr>
        <w:t xml:space="preserve">﹞</w:t>
      </w:r>
      <w:r>
        <w:rPr>
          <w:rFonts w:eastAsia="仿宋"/>
          <w:color w:val="auto"/>
          <w:sz w:val="24"/>
          <w:highlight w:val="none"/>
        </w:rPr>
        <w:t xml:space="preserve">46 </w:t>
      </w:r>
      <w:r>
        <w:rPr>
          <w:rFonts w:hAnsi="仿宋" w:eastAsia="仿宋"/>
          <w:color w:val="auto"/>
          <w:sz w:val="24"/>
          <w:highlight w:val="none"/>
        </w:rPr>
        <w:t xml:space="preserve">号）的规定，本公司</w:t>
      </w:r>
      <w:r>
        <w:rPr>
          <w:rFonts w:hint="eastAsia" w:hAnsi="仿宋" w:eastAsia="仿宋"/>
          <w:color w:val="auto"/>
          <w:sz w:val="24"/>
          <w:highlight w:val="none"/>
        </w:rPr>
        <w:t xml:space="preserve">(联合体)</w:t>
      </w:r>
      <w:r>
        <w:rPr>
          <w:rFonts w:hAnsi="仿宋" w:eastAsia="仿宋"/>
          <w:color w:val="auto"/>
          <w:sz w:val="24"/>
          <w:highlight w:val="none"/>
        </w:rPr>
        <w:t xml:space="preserve">参加</w:t>
      </w:r>
      <w:r>
        <w:rPr>
          <w:rFonts w:hAnsi="仿宋" w:eastAsia="仿宋"/>
          <w:color w:val="auto"/>
          <w:sz w:val="24"/>
          <w:highlight w:val="none"/>
          <w:u w:val="single"/>
        </w:rPr>
        <w:t xml:space="preserve">（单位名称）</w:t>
      </w:r>
      <w:r>
        <w:rPr>
          <w:rFonts w:hAnsi="仿宋" w:eastAsia="仿宋"/>
          <w:color w:val="auto"/>
          <w:sz w:val="24"/>
          <w:highlight w:val="none"/>
        </w:rPr>
        <w:t xml:space="preserve">的</w:t>
      </w:r>
      <w:r>
        <w:rPr>
          <w:rFonts w:hAnsi="仿宋" w:eastAsia="仿宋"/>
          <w:color w:val="auto"/>
          <w:sz w:val="24"/>
          <w:highlight w:val="none"/>
          <w:u w:val="single"/>
        </w:rPr>
        <w:t xml:space="preserve">（项目名称）</w:t>
      </w:r>
      <w:r>
        <w:rPr>
          <w:rFonts w:hAnsi="仿宋" w:eastAsia="仿宋"/>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eastAsia="仿宋"/>
          <w:color w:val="auto"/>
          <w:sz w:val="24"/>
          <w:highlight w:val="none"/>
          <w:u w:val="single"/>
        </w:rPr>
      </w:pPr>
      <w:r>
        <w:rPr>
          <w:rFonts w:eastAsia="仿宋"/>
          <w:color w:val="auto"/>
          <w:sz w:val="24"/>
          <w:highlight w:val="none"/>
        </w:rPr>
        <w:t xml:space="preserve">1. </w:t>
      </w:r>
      <w:r>
        <w:rPr>
          <w:rFonts w:hAnsi="仿宋" w:eastAsia="仿宋"/>
          <w:color w:val="auto"/>
          <w:sz w:val="24"/>
          <w:highlight w:val="none"/>
          <w:u w:val="single"/>
        </w:rPr>
        <w:t xml:space="preserve">（标的名称）</w:t>
      </w:r>
      <w:r>
        <w:rPr>
          <w:rFonts w:hAnsi="仿宋" w:eastAsia="仿宋"/>
          <w:color w:val="auto"/>
          <w:sz w:val="24"/>
          <w:highlight w:val="none"/>
        </w:rPr>
        <w:t xml:space="preserve">，属于</w:t>
      </w:r>
      <w:r>
        <w:rPr>
          <w:rFonts w:hAnsi="仿宋" w:eastAsia="仿宋"/>
          <w:color w:val="auto"/>
          <w:sz w:val="24"/>
          <w:highlight w:val="none"/>
          <w:u w:val="single"/>
        </w:rPr>
        <w:t xml:space="preserve">（采购文件中明确的所属行业）</w:t>
      </w:r>
      <w:r>
        <w:rPr>
          <w:rFonts w:hAnsi="仿宋" w:eastAsia="仿宋"/>
          <w:color w:val="auto"/>
          <w:sz w:val="24"/>
          <w:highlight w:val="none"/>
        </w:rPr>
        <w:t xml:space="preserve">；承建（承接）企业为</w:t>
      </w:r>
      <w:r>
        <w:rPr>
          <w:rFonts w:hAnsi="仿宋" w:eastAsia="仿宋"/>
          <w:color w:val="auto"/>
          <w:sz w:val="24"/>
          <w:highlight w:val="none"/>
          <w:u w:val="single"/>
        </w:rPr>
        <w:t xml:space="preserve">（企业名称）</w:t>
      </w:r>
      <w:r>
        <w:rPr>
          <w:rFonts w:hAnsi="仿宋" w:eastAsia="仿宋"/>
          <w:color w:val="auto"/>
          <w:sz w:val="24"/>
          <w:highlight w:val="none"/>
        </w:rPr>
        <w:t xml:space="preserve">，从业人员</w:t>
      </w:r>
      <w:r>
        <w:rPr>
          <w:rFonts w:hint="eastAsia" w:hAnsi="仿宋" w:eastAsia="仿宋"/>
          <w:color w:val="auto"/>
          <w:sz w:val="24"/>
          <w:highlight w:val="none"/>
          <w:u w:val="single"/>
        </w:rPr>
        <w:t xml:space="preserve">    </w:t>
      </w:r>
      <w:r>
        <w:rPr>
          <w:rFonts w:hAnsi="仿宋" w:eastAsia="仿宋"/>
          <w:color w:val="auto"/>
          <w:sz w:val="24"/>
          <w:highlight w:val="none"/>
        </w:rPr>
        <w:t xml:space="preserve">人，营业收入为</w:t>
      </w:r>
      <w:r>
        <w:rPr>
          <w:rFonts w:hint="eastAsia" w:hAnsi="仿宋" w:eastAsia="仿宋"/>
          <w:color w:val="auto"/>
          <w:sz w:val="24"/>
          <w:highlight w:val="none"/>
          <w:u w:val="single"/>
        </w:rPr>
        <w:t xml:space="preserve">    </w:t>
      </w:r>
      <w:r>
        <w:rPr>
          <w:rFonts w:hAnsi="仿宋" w:eastAsia="仿宋"/>
          <w:color w:val="auto"/>
          <w:sz w:val="24"/>
          <w:highlight w:val="none"/>
        </w:rPr>
        <w:t xml:space="preserve">万元，资产总额为</w:t>
      </w:r>
      <w:r>
        <w:rPr>
          <w:rFonts w:hint="eastAsia" w:hAnsi="仿宋" w:eastAsia="仿宋"/>
          <w:color w:val="auto"/>
          <w:sz w:val="24"/>
          <w:highlight w:val="none"/>
          <w:u w:val="single"/>
        </w:rPr>
        <w:t xml:space="preserve">    </w:t>
      </w:r>
      <w:r>
        <w:rPr>
          <w:rFonts w:hAnsi="仿宋" w:eastAsia="仿宋"/>
          <w:color w:val="auto"/>
          <w:sz w:val="24"/>
          <w:highlight w:val="none"/>
        </w:rPr>
        <w:t xml:space="preserve">万元</w:t>
      </w:r>
      <w:r>
        <w:rPr>
          <w:rFonts w:hint="eastAsia" w:hAnsi="仿宋" w:eastAsia="仿宋"/>
          <w:color w:val="auto"/>
          <w:sz w:val="24"/>
          <w:highlight w:val="none"/>
          <w:vertAlign w:val="superscript"/>
        </w:rPr>
        <w:t xml:space="preserve">1</w:t>
      </w:r>
      <w:r>
        <w:rPr>
          <w:rFonts w:hAnsi="仿宋" w:eastAsia="仿宋"/>
          <w:color w:val="auto"/>
          <w:sz w:val="24"/>
          <w:highlight w:val="none"/>
        </w:rPr>
        <w:t xml:space="preserve">，属于</w:t>
      </w:r>
      <w:r>
        <w:rPr>
          <w:rFonts w:hAnsi="仿宋" w:eastAsia="仿宋"/>
          <w:color w:val="auto"/>
          <w:sz w:val="24"/>
          <w:highlight w:val="none"/>
          <w:u w:val="single"/>
        </w:rPr>
        <w:t xml:space="preserve">（中型企业、小型企业、微型企业）</w:t>
      </w:r>
      <w:r>
        <w:rPr>
          <w:rFonts w:hAnsi="仿宋" w:eastAsia="仿宋"/>
          <w:color w:val="auto"/>
          <w:sz w:val="24"/>
          <w:highlight w:val="none"/>
        </w:rPr>
        <w:t xml:space="preserve">；</w:t>
      </w:r>
      <w:r/>
    </w:p>
    <w:p>
      <w:pPr>
        <w:ind w:firstLine="480"/>
        <w:jc w:val="left"/>
        <w:spacing w:line="480" w:lineRule="auto"/>
        <w:rPr>
          <w:rFonts w:eastAsia="仿宋"/>
          <w:color w:val="auto"/>
          <w:sz w:val="24"/>
          <w:highlight w:val="none"/>
        </w:rPr>
      </w:pPr>
      <w:r>
        <w:rPr>
          <w:rFonts w:hAnsi="仿宋" w:eastAsia="仿宋"/>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eastAsia="仿宋"/>
          <w:color w:val="auto"/>
          <w:sz w:val="24"/>
          <w:highlight w:val="none"/>
        </w:rPr>
      </w:pPr>
      <w:r>
        <w:rPr>
          <w:rFonts w:hAnsi="仿宋" w:eastAsia="仿宋"/>
          <w:color w:val="auto"/>
          <w:sz w:val="24"/>
          <w:highlight w:val="none"/>
        </w:rPr>
        <w:t xml:space="preserve">本企业对上述声明内容的真实性负责。如有虚假，将依法承担相应责任。</w:t>
      </w:r>
      <w:r/>
    </w:p>
    <w:p>
      <w:pPr>
        <w:jc w:val="left"/>
        <w:spacing w:line="480" w:lineRule="auto"/>
        <w:rPr>
          <w:rFonts w:eastAsia="仿宋"/>
          <w:color w:val="auto"/>
          <w:sz w:val="24"/>
          <w:highlight w:val="none"/>
        </w:rPr>
      </w:pPr>
      <w:r>
        <w:rPr>
          <w:rFonts w:eastAsia="仿宋"/>
          <w:color w:val="auto"/>
          <w:sz w:val="24"/>
          <w:highlight w:val="none"/>
        </w:rPr>
      </w:r>
      <w:r/>
    </w:p>
    <w:p>
      <w:pPr>
        <w:ind w:firstLine="3840"/>
        <w:jc w:val="left"/>
        <w:spacing w:line="480" w:lineRule="auto"/>
        <w:rPr>
          <w:rFonts w:eastAsia="仿宋"/>
          <w:color w:val="auto"/>
          <w:sz w:val="24"/>
          <w:highlight w:val="none"/>
        </w:rPr>
      </w:pPr>
      <w:r>
        <w:rPr>
          <w:rFonts w:hAnsi="仿宋" w:eastAsia="仿宋"/>
          <w:color w:val="auto"/>
          <w:sz w:val="24"/>
          <w:highlight w:val="none"/>
        </w:rPr>
        <w:t xml:space="preserve">企业名称（</w:t>
      </w:r>
      <w:r>
        <w:rPr>
          <w:rFonts w:hint="eastAsia" w:ascii="宋体" w:hAnsi="宋体"/>
          <w:color w:val="auto"/>
          <w:szCs w:val="21"/>
          <w:highlight w:val="none"/>
        </w:rPr>
        <w:t xml:space="preserve">加盖CA电子公章</w:t>
      </w:r>
      <w:r>
        <w:rPr>
          <w:rFonts w:hAnsi="仿宋" w:eastAsia="仿宋"/>
          <w:color w:val="auto"/>
          <w:sz w:val="24"/>
          <w:highlight w:val="none"/>
        </w:rPr>
        <w:t xml:space="preserve">）：</w:t>
      </w:r>
      <w:r/>
    </w:p>
    <w:p>
      <w:pPr>
        <w:jc w:val="center"/>
        <w:spacing w:line="480" w:lineRule="auto"/>
        <w:rPr>
          <w:rFonts w:hAnsi="仿宋" w:eastAsia="仿宋"/>
          <w:color w:val="auto"/>
          <w:sz w:val="24"/>
          <w:highlight w:val="none"/>
        </w:rPr>
      </w:pPr>
      <w:r>
        <w:rPr>
          <w:rFonts w:hAnsi="仿宋" w:eastAsia="仿宋"/>
          <w:color w:val="auto"/>
          <w:sz w:val="24"/>
          <w:highlight w:val="none"/>
        </w:rPr>
        <w:t xml:space="preserve">日期：</w:t>
      </w:r>
      <w:r/>
    </w:p>
    <w:p>
      <w:pPr>
        <w:ind w:firstLine="480"/>
        <w:spacing w:line="320" w:lineRule="exact"/>
        <w:rPr>
          <w:rFonts w:hAnsi="仿宋" w:eastAsia="仿宋"/>
          <w:color w:val="auto"/>
          <w:sz w:val="24"/>
          <w:highlight w:val="none"/>
        </w:rPr>
      </w:pPr>
      <w:r>
        <w:rPr>
          <w:rFonts w:hint="eastAsia" w:hAnsi="仿宋" w:eastAsia="仿宋"/>
          <w:color w:val="auto"/>
          <w:sz w:val="24"/>
          <w:highlight w:val="none"/>
        </w:rPr>
        <w:t xml:space="preserve">（备注：</w:t>
      </w:r>
      <w:r>
        <w:rPr>
          <w:rFonts w:hAnsi="仿宋" w:eastAsia="仿宋"/>
          <w:color w:val="auto"/>
          <w:sz w:val="24"/>
          <w:highlight w:val="none"/>
        </w:rPr>
        <w:t xml:space="preserve">1</w:t>
      </w:r>
      <w:r>
        <w:rPr>
          <w:rFonts w:hint="eastAsia" w:hAnsi="仿宋" w:eastAsia="仿宋"/>
          <w:color w:val="auto"/>
          <w:sz w:val="24"/>
          <w:highlight w:val="none"/>
        </w:rPr>
        <w:t xml:space="preserve">、参照《关于印发中小企业划型标准规定的通知》（工信部联企业〔2011〕300号）文件，</w:t>
      </w:r>
      <w:r>
        <w:rPr>
          <w:rFonts w:hAnsi="仿宋" w:eastAsia="仿宋"/>
          <w:color w:val="auto"/>
          <w:sz w:val="24"/>
          <w:highlight w:val="none"/>
        </w:rPr>
        <w:t xml:space="preserve">本项目所属行业为</w:t>
      </w:r>
      <w:r>
        <w:rPr>
          <w:rFonts w:ascii="宋体" w:hAnsi="宋体" w:cs="宋体"/>
          <w:color w:val="auto"/>
          <w:sz w:val="24"/>
          <w:highlight w:val="none"/>
          <w:u w:val="single"/>
        </w:rPr>
        <w:t xml:space="preserve">软件和信息技术服务业</w:t>
      </w:r>
      <w:r>
        <w:rPr>
          <w:rFonts w:hint="eastAsia" w:hAnsi="仿宋" w:eastAsia="仿宋"/>
          <w:color w:val="auto"/>
          <w:sz w:val="24"/>
          <w:highlight w:val="none"/>
        </w:rPr>
        <w:t xml:space="preserve">。2、请如实填写属于</w:t>
      </w:r>
      <w:r>
        <w:rPr>
          <w:rFonts w:hAnsi="仿宋" w:eastAsia="仿宋"/>
          <w:color w:val="auto"/>
          <w:sz w:val="24"/>
          <w:highlight w:val="none"/>
        </w:rPr>
        <w:t xml:space="preserve">中型企业</w:t>
      </w:r>
      <w:r>
        <w:rPr>
          <w:rFonts w:hint="eastAsia" w:hAnsi="仿宋" w:eastAsia="仿宋"/>
          <w:color w:val="auto"/>
          <w:sz w:val="24"/>
          <w:highlight w:val="none"/>
        </w:rPr>
        <w:t xml:space="preserve">或</w:t>
      </w:r>
      <w:r>
        <w:rPr>
          <w:rFonts w:hAnsi="仿宋" w:eastAsia="仿宋"/>
          <w:color w:val="auto"/>
          <w:sz w:val="24"/>
          <w:highlight w:val="none"/>
        </w:rPr>
        <w:t xml:space="preserve">小型企业</w:t>
      </w:r>
      <w:r>
        <w:rPr>
          <w:rFonts w:hint="eastAsia" w:hAnsi="仿宋" w:eastAsia="仿宋"/>
          <w:color w:val="auto"/>
          <w:sz w:val="24"/>
          <w:highlight w:val="none"/>
        </w:rPr>
        <w:t xml:space="preserve">或</w:t>
      </w:r>
      <w:r>
        <w:rPr>
          <w:rFonts w:hAnsi="仿宋" w:eastAsia="仿宋"/>
          <w:color w:val="auto"/>
          <w:sz w:val="24"/>
          <w:highlight w:val="none"/>
        </w:rPr>
        <w:t xml:space="preserve">微型企业</w:t>
      </w:r>
      <w:r>
        <w:rPr>
          <w:rFonts w:hint="eastAsia" w:hAnsi="仿宋" w:eastAsia="仿宋"/>
          <w:color w:val="auto"/>
          <w:sz w:val="24"/>
          <w:highlight w:val="none"/>
        </w:rPr>
        <w:t xml:space="preserve">。3、</w:t>
      </w:r>
      <w:r>
        <w:rPr>
          <w:rFonts w:hint="eastAsia" w:hAnsi="仿宋" w:eastAsia="仿宋"/>
          <w:color w:val="auto"/>
          <w:sz w:val="24"/>
          <w:highlight w:val="none"/>
          <w:vertAlign w:val="superscript"/>
        </w:rPr>
        <w:t xml:space="preserve">1</w:t>
      </w:r>
      <w:r>
        <w:rPr>
          <w:rFonts w:hint="eastAsia" w:hAnsi="仿宋" w:eastAsia="仿宋"/>
          <w:color w:val="auto"/>
          <w:sz w:val="24"/>
          <w:highlight w:val="none"/>
        </w:rPr>
        <w:t xml:space="preserve">从业人员、营业收入、资产总额填报上一年度数据，无上一年度数据的新成立企业可不填报。）</w:t>
      </w:r>
      <w:r/>
    </w:p>
    <w:p>
      <w:pPr>
        <w:rPr>
          <w:color w:val="auto"/>
          <w:highlight w:val="none"/>
        </w:rPr>
      </w:pPr>
      <w:r>
        <w:rPr>
          <w:color w:val="auto"/>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 </w:t>
      </w:r>
      <w:r/>
    </w:p>
    <w:p>
      <w:pPr>
        <w:rPr>
          <w:rFonts w:ascii="宋体" w:hAnsi="宋体"/>
          <w:color w:val="auto"/>
          <w:sz w:val="32"/>
          <w:szCs w:val="32"/>
          <w:highlight w:val="none"/>
        </w:rPr>
      </w:pPr>
      <w:r>
        <w:rPr>
          <w:rFonts w:hint="eastAsia" w:ascii="宋体" w:hAnsi="宋体" w:cs="宋体"/>
          <w:color w:val="auto"/>
          <w:szCs w:val="21"/>
          <w:highlight w:val="none"/>
        </w:rPr>
        <w:t xml:space="preserve"> </w:t>
      </w:r>
      <w:r/>
    </w:p>
    <w:p>
      <w:pPr>
        <w:ind w:firstLine="645"/>
        <w:rPr>
          <w:rFonts w:ascii="宋体" w:hAnsi="宋体"/>
          <w:color w:val="auto"/>
          <w:sz w:val="32"/>
          <w:szCs w:val="32"/>
          <w:highlight w:val="none"/>
        </w:rPr>
      </w:pPr>
      <w:r>
        <w:rPr>
          <w:rFonts w:hint="eastAsia" w:ascii="宋体" w:hAnsi="宋体"/>
          <w:color w:val="auto"/>
          <w:sz w:val="32"/>
          <w:szCs w:val="32"/>
          <w:highlight w:val="none"/>
        </w:rPr>
        <w:t xml:space="preserve"> </w:t>
      </w:r>
      <w:r/>
    </w:p>
    <w:p>
      <w:pPr>
        <w:pStyle w:val="1223"/>
        <w:rPr>
          <w:rFonts w:ascii="宋体" w:hAnsi="宋体" w:eastAsia="宋体"/>
          <w:color w:val="auto"/>
          <w:szCs w:val="32"/>
          <w:highlight w:val="none"/>
        </w:rPr>
      </w:pPr>
      <w:r>
        <w:rPr>
          <w:rFonts w:ascii="宋体" w:hAnsi="宋体" w:eastAsia="宋体"/>
          <w:color w:val="auto"/>
          <w:szCs w:val="32"/>
          <w:highlight w:val="none"/>
        </w:rPr>
      </w:r>
      <w:r/>
    </w:p>
    <w:p>
      <w:pPr>
        <w:pStyle w:val="1223"/>
        <w:rPr>
          <w:rFonts w:ascii="宋体" w:hAnsi="宋体" w:eastAsia="宋体"/>
          <w:color w:val="auto"/>
          <w:szCs w:val="32"/>
          <w:highlight w:val="none"/>
        </w:rPr>
      </w:pPr>
      <w:r>
        <w:rPr>
          <w:rFonts w:ascii="宋体" w:hAnsi="宋体" w:eastAsia="宋体"/>
          <w:color w:val="auto"/>
          <w:szCs w:val="32"/>
          <w:highlight w:val="none"/>
        </w:rPr>
      </w:r>
      <w:r/>
    </w:p>
    <w:p>
      <w:pPr>
        <w:spacing w:line="440" w:lineRule="exact"/>
        <w:rPr>
          <w:rFonts w:ascii="宋体" w:hAnsi="宋体" w:cs="宋体"/>
          <w:b/>
          <w:bCs/>
          <w:color w:val="auto"/>
          <w:szCs w:val="21"/>
          <w:highlight w:val="none"/>
        </w:rPr>
        <w:sectPr>
          <w:footerReference w:type="default" r:id="rId19"/>
          <w:footerReference w:type="first" r:id="rId20"/>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ascii="宋体" w:hAnsi="宋体" w:cs="宋体"/>
          <w:b/>
          <w:bCs/>
          <w:color w:val="auto"/>
          <w:szCs w:val="21"/>
          <w:highlight w:val="none"/>
        </w:rPr>
      </w:r>
      <w:r/>
    </w:p>
    <w:p>
      <w:pPr>
        <w:ind w:firstLine="562"/>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残疾人福利性单位声明函</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（备注：1、供应商如不提供此声明函，价格将不作相应扣除。2、中标供应商为残疾人福利单位的，此声明函将随中标结果同时公告，接受社会监督）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供应商全称（加盖CA电子公章）：</w:t>
      </w:r>
      <w:r/>
    </w:p>
    <w:p>
      <w:pPr>
        <w:spacing w:line="440" w:lineRule="exact"/>
        <w:rPr>
          <w:rFonts w:ascii="宋体" w:hAnsi="宋体"/>
          <w:color w:val="auto"/>
          <w:szCs w:val="21"/>
          <w:highlight w:val="none"/>
        </w:rPr>
        <w:outlineLvl w:val="0"/>
      </w:pPr>
      <w:r>
        <w:rPr>
          <w:rFonts w:hint="eastAsia" w:ascii="宋体" w:hAnsi="宋体"/>
          <w:color w:val="auto"/>
          <w:szCs w:val="21"/>
          <w:highlight w:val="none"/>
        </w:rPr>
        <w:t xml:space="preserve">                                              日  期</w:t>
      </w:r>
      <w:r/>
    </w:p>
    <w:p>
      <w:pPr>
        <w:pStyle w:val="1235"/>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ind w:firstLine="562"/>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属于监狱企业的证明文件</w:t>
      </w:r>
      <w:r/>
    </w:p>
    <w:p>
      <w:pPr>
        <w:pStyle w:val="1221"/>
        <w:rPr>
          <w:color w:val="auto"/>
          <w:highlight w:val="none"/>
        </w:rPr>
      </w:pPr>
      <w:r>
        <w:rPr>
          <w:color w:val="auto"/>
          <w:highlight w:val="none"/>
        </w:rPr>
      </w:r>
      <w:r/>
    </w:p>
    <w:p>
      <w:pPr>
        <w:pStyle w:val="1221"/>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（提供由省级以上监狱管理局、戒毒管理局(含新疆生产建设兵团)出具的属于监狱企业的证明文件）</w:t>
      </w:r>
      <w:r/>
    </w:p>
    <w:p>
      <w:pPr>
        <w:pStyle w:val="1235"/>
        <w:rPr>
          <w:color w:val="auto"/>
          <w:highlight w:val="none"/>
        </w:rPr>
      </w:pPr>
      <w:r>
        <w:rPr>
          <w:color w:val="auto"/>
          <w:highlight w:val="none"/>
        </w:rPr>
      </w:r>
      <w:r/>
    </w:p>
    <w:p>
      <w:pPr>
        <w:pStyle w:val="1235"/>
        <w:rPr>
          <w:color w:val="auto"/>
          <w:highlight w:val="none"/>
        </w:rPr>
      </w:pPr>
      <w:r>
        <w:rPr>
          <w:color w:val="auto"/>
          <w:highlight w:val="none"/>
        </w:rPr>
      </w:r>
      <w:r/>
    </w:p>
    <w:p>
      <w:pPr>
        <w:ind w:firstLine="562"/>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节能产品认证证书</w:t>
      </w:r>
      <w:r/>
    </w:p>
    <w:p>
      <w:pPr>
        <w:pStyle w:val="1225"/>
        <w:rPr>
          <w:color w:val="auto"/>
          <w:highlight w:val="none"/>
        </w:rPr>
      </w:pPr>
      <w:r>
        <w:rPr>
          <w:color w:val="auto"/>
          <w:highlight w:val="none"/>
        </w:rPr>
      </w:r>
      <w:r/>
    </w:p>
    <w:p>
      <w:pPr>
        <w:ind w:firstLine="720"/>
        <w:jc w:val="left"/>
        <w:rPr>
          <w:rFonts w:hAnsi="仿宋" w:eastAsia="仿宋"/>
          <w:color w:val="auto"/>
          <w:sz w:val="24"/>
          <w:highlight w:val="none"/>
        </w:rPr>
      </w:pPr>
      <w:r>
        <w:rPr>
          <w:rFonts w:hint="eastAsia" w:hAnsi="仿宋" w:eastAsia="仿宋"/>
          <w:color w:val="auto"/>
          <w:sz w:val="24"/>
          <w:highlight w:val="none"/>
        </w:rPr>
        <w:t xml:space="preserve">（提供国家确定的认证机构出具的、处于有效期之内的产品认证证书）</w:t>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pStyle w:val="1225"/>
        <w:rPr>
          <w:color w:val="auto"/>
          <w:highlight w:val="none"/>
        </w:rPr>
      </w:pPr>
      <w:r>
        <w:rPr>
          <w:color w:val="auto"/>
          <w:highlight w:val="none"/>
        </w:rPr>
      </w:r>
      <w:r/>
    </w:p>
    <w:p>
      <w:pPr>
        <w:pStyle w:val="1220"/>
        <w:rPr>
          <w:color w:val="auto"/>
          <w:highlight w:val="none"/>
        </w:rPr>
      </w:pPr>
      <w:r>
        <w:rPr>
          <w:color w:val="auto"/>
          <w:highlight w:val="none"/>
        </w:rPr>
      </w:r>
      <w:r/>
    </w:p>
    <w:p>
      <w:pPr>
        <w:ind w:firstLine="562"/>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环境标志产品认证证书</w:t>
      </w:r>
      <w:r/>
    </w:p>
    <w:p>
      <w:pPr>
        <w:ind w:firstLine="720"/>
        <w:spacing w:line="560" w:lineRule="exact"/>
        <w:rPr>
          <w:rFonts w:hAnsi="仿宋" w:eastAsia="仿宋"/>
          <w:color w:val="auto"/>
          <w:sz w:val="24"/>
          <w:highlight w:val="none"/>
        </w:rPr>
      </w:pPr>
      <w:r>
        <w:rPr>
          <w:rFonts w:hint="eastAsia" w:hAnsi="仿宋" w:eastAsia="仿宋"/>
          <w:color w:val="auto"/>
          <w:sz w:val="24"/>
          <w:highlight w:val="none"/>
        </w:rPr>
        <w:t xml:space="preserve">（提供国家确定的认证机构出具的、处于有效期之内的产品认证证书）</w:t>
      </w:r>
      <w:r/>
    </w:p>
    <w:p>
      <w:pPr>
        <w:pStyle w:val="1235"/>
        <w:rPr>
          <w:color w:val="auto"/>
          <w:highlight w:val="none"/>
        </w:rPr>
        <w:sectPr>
          <w:footerReference w:type="first" r:id="rId21"/>
          <w:footnotePr/>
          <w:endnotePr/>
          <w:type w:val="nextPage"/>
          <w:pgSz w:w="11906" w:h="16838" w:orient="portrait"/>
          <w:pgMar w:top="1015" w:right="1196" w:bottom="868" w:left="1259" w:header="851" w:footer="907" w:gutter="0"/>
          <w:cols w:num="1" w:sep="0" w:space="720" w:equalWidth="1"/>
          <w:docGrid w:linePitch="360"/>
          <w:titlePg/>
        </w:sectPr>
      </w:pPr>
      <w:r>
        <w:rPr>
          <w:color w:val="auto"/>
          <w:highlight w:val="none"/>
        </w:rPr>
      </w:r>
      <w:r/>
    </w:p>
    <w:p>
      <w:pPr>
        <w:spacing w:line="440" w:lineRule="exact"/>
        <w:rPr>
          <w:rFonts w:ascii="宋体" w:hAnsi="宋体"/>
          <w:b/>
          <w:bCs/>
          <w:color w:val="auto"/>
          <w:szCs w:val="21"/>
          <w:highlight w:val="none"/>
        </w:rPr>
        <w:outlineLvl w:val="0"/>
      </w:pPr>
      <w:r>
        <w:rPr>
          <w:rFonts w:hint="eastAsia" w:ascii="宋体" w:hAnsi="宋体"/>
          <w:b/>
          <w:bCs/>
          <w:color w:val="auto"/>
          <w:szCs w:val="21"/>
          <w:highlight w:val="none"/>
        </w:rPr>
        <w:t xml:space="preserve">附件10：</w:t>
      </w:r>
      <w:r/>
    </w:p>
    <w:p>
      <w:pPr>
        <w:ind w:firstLine="3092"/>
        <w:spacing w:line="50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拟派本项目人员一览表</w:t>
      </w:r>
      <w:r/>
    </w:p>
    <w:p>
      <w:pPr>
        <w:pStyle w:val="1220"/>
        <w:rPr>
          <w:rFonts w:ascii="宋体" w:hAnsi="宋体" w:cs="宋体"/>
          <w:color w:val="auto"/>
          <w:szCs w:val="21"/>
          <w:highlight w:val="none"/>
        </w:rPr>
      </w:pPr>
      <w:r>
        <w:rPr>
          <w:rFonts w:ascii="宋体" w:hAnsi="宋体" w:cs="宋体"/>
          <w:color w:val="auto"/>
          <w:szCs w:val="21"/>
          <w:highlight w:val="none"/>
        </w:rPr>
      </w:r>
      <w:r/>
    </w:p>
    <w:tbl>
      <w:tblPr>
        <w:tblStyle w:val="1219"/>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1167"/>
        <w:gridCol w:w="595"/>
        <w:gridCol w:w="582"/>
        <w:gridCol w:w="1741"/>
        <w:gridCol w:w="1583"/>
        <w:gridCol w:w="930"/>
        <w:gridCol w:w="932"/>
        <w:gridCol w:w="810"/>
        <w:gridCol w:w="798"/>
      </w:tblGrid>
      <w:tr>
        <w:trPr>
          <w:jc w:val="center"/>
          <w:trHeight w:val="682"/>
        </w:trPr>
        <w:tc>
          <w:tcPr>
            <w:tcW w:w="266" w:type="pct"/>
            <w:vAlign w:val="center"/>
            <w:textDirection w:val="lrTb"/>
            <w:noWrap w:val="false"/>
          </w:tcPr>
          <w:p>
            <w:pP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604" w:type="pct"/>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姓  名</w:t>
            </w:r>
            <w:r/>
          </w:p>
        </w:tc>
        <w:tc>
          <w:tcPr>
            <w:tcW w:w="308" w:type="pct"/>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性别</w:t>
            </w:r>
            <w:r/>
          </w:p>
        </w:tc>
        <w:tc>
          <w:tcPr>
            <w:tcW w:w="301" w:type="pct"/>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年龄</w:t>
            </w:r>
            <w:r/>
          </w:p>
        </w:tc>
        <w:tc>
          <w:tcPr>
            <w:tcW w:w="901" w:type="pct"/>
            <w:vAlign w:val="center"/>
            <w:textDirection w:val="lrTb"/>
            <w:noWrap w:val="false"/>
          </w:tcPr>
          <w:p>
            <w:pPr>
              <w:ind w:firstLine="422"/>
              <w:spacing w:line="500" w:lineRule="atLeast"/>
              <w:rPr>
                <w:rFonts w:ascii="宋体" w:hAnsi="宋体"/>
                <w:b/>
                <w:bCs/>
                <w:color w:val="auto"/>
                <w:szCs w:val="21"/>
                <w:highlight w:val="none"/>
              </w:rPr>
            </w:pPr>
            <w:r>
              <w:rPr>
                <w:rFonts w:hint="eastAsia" w:ascii="宋体" w:hAnsi="宋体"/>
                <w:b/>
                <w:bCs/>
                <w:color w:val="auto"/>
                <w:szCs w:val="21"/>
                <w:highlight w:val="none"/>
              </w:rPr>
              <w:t xml:space="preserve">身份证号码</w:t>
            </w:r>
            <w:r/>
          </w:p>
        </w:tc>
        <w:tc>
          <w:tcPr>
            <w:tcW w:w="819" w:type="pct"/>
            <w:vAlign w:val="center"/>
            <w:textDirection w:val="lrTb"/>
            <w:noWrap w:val="false"/>
          </w:tcPr>
          <w:p>
            <w:pPr>
              <w:jc w:val="center"/>
              <w:spacing w:line="500" w:lineRule="atLeast"/>
              <w:rPr>
                <w:rFonts w:ascii="宋体" w:hAnsi="宋体"/>
                <w:b/>
                <w:bCs/>
                <w:color w:val="auto"/>
                <w:szCs w:val="21"/>
                <w:highlight w:val="none"/>
              </w:rPr>
            </w:pPr>
            <w:r>
              <w:rPr>
                <w:rFonts w:hint="eastAsia" w:ascii="宋体" w:hAnsi="宋体"/>
                <w:b/>
                <w:bCs/>
                <w:color w:val="auto"/>
                <w:szCs w:val="21"/>
                <w:highlight w:val="none"/>
              </w:rPr>
              <w:t xml:space="preserve">资格证书</w:t>
            </w:r>
            <w:r/>
          </w:p>
        </w:tc>
        <w:tc>
          <w:tcPr>
            <w:tcW w:w="481" w:type="pct"/>
            <w:vAlign w:val="center"/>
            <w:textDirection w:val="lrTb"/>
            <w:noWrap w:val="false"/>
          </w:tcPr>
          <w:p>
            <w:pPr>
              <w:jc w:val="center"/>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学历</w:t>
            </w:r>
            <w:r/>
          </w:p>
        </w:tc>
        <w:tc>
          <w:tcPr>
            <w:tcW w:w="482" w:type="pct"/>
            <w:vAlign w:val="center"/>
            <w:textDirection w:val="lrTb"/>
            <w:noWrap w:val="false"/>
          </w:tcPr>
          <w:p>
            <w:pPr>
              <w:rPr>
                <w:rFonts w:ascii="宋体" w:hAnsi="宋体"/>
                <w:b/>
                <w:bCs/>
                <w:color w:val="auto"/>
                <w:szCs w:val="21"/>
                <w:highlight w:val="none"/>
              </w:rPr>
            </w:pPr>
            <w:r>
              <w:rPr>
                <w:rFonts w:hint="eastAsia" w:ascii="宋体" w:hAnsi="宋体"/>
                <w:b/>
                <w:bCs/>
                <w:color w:val="auto"/>
                <w:szCs w:val="21"/>
                <w:highlight w:val="none"/>
              </w:rPr>
              <w:t xml:space="preserve">本项目中的岗位</w:t>
            </w:r>
            <w:r/>
          </w:p>
        </w:tc>
        <w:tc>
          <w:tcPr>
            <w:tcW w:w="419" w:type="pct"/>
            <w:vAlign w:val="center"/>
            <w:textDirection w:val="lrTb"/>
            <w:noWrap w:val="false"/>
          </w:tcPr>
          <w:p>
            <w:pPr>
              <w:rPr>
                <w:rFonts w:ascii="宋体" w:hAnsi="宋体"/>
                <w:b/>
                <w:bCs/>
                <w:color w:val="auto"/>
                <w:szCs w:val="21"/>
                <w:highlight w:val="none"/>
              </w:rPr>
            </w:pPr>
            <w:r>
              <w:rPr>
                <w:rFonts w:hint="eastAsia" w:ascii="宋体" w:hAnsi="宋体"/>
                <w:b/>
                <w:bCs/>
                <w:color w:val="auto"/>
                <w:szCs w:val="21"/>
                <w:highlight w:val="none"/>
              </w:rPr>
              <w:t xml:space="preserve">是否缴纳社保</w:t>
            </w:r>
            <w:r/>
          </w:p>
        </w:tc>
        <w:tc>
          <w:tcPr>
            <w:tcW w:w="413" w:type="pct"/>
            <w:vAlign w:val="center"/>
            <w:textDirection w:val="lrTb"/>
            <w:noWrap w:val="false"/>
          </w:tcPr>
          <w:p>
            <w:pPr>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 xml:space="preserve">经验</w:t>
            </w:r>
            <w:r/>
          </w:p>
        </w:tc>
      </w:tr>
      <w:tr>
        <w:trPr>
          <w:jc w:val="center"/>
          <w:trHeight w:val="567"/>
        </w:trPr>
        <w:tc>
          <w:tcPr>
            <w:tcW w:w="266" w:type="pc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604"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308"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301"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01"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819"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481" w:type="pct"/>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482" w:type="pc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419" w:type="pc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413" w:type="pct"/>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r>
        <w:trPr>
          <w:jc w:val="center"/>
          <w:trHeight w:val="567"/>
        </w:trPr>
        <w:tc>
          <w:tcPr>
            <w:tcW w:w="266" w:type="pct"/>
            <w:vAlign w:val="center"/>
            <w:textDirection w:val="lrTb"/>
            <w:noWrap w:val="false"/>
          </w:tcPr>
          <w:p>
            <w:pPr>
              <w:jc w:val="center"/>
              <w:widowControl/>
              <w:rPr>
                <w:rFonts w:ascii="宋体" w:hAnsi="宋体" w:cs="宋体"/>
                <w:color w:val="auto"/>
                <w:sz w:val="20"/>
                <w:szCs w:val="21"/>
                <w:highlight w:val="none"/>
              </w:rPr>
            </w:pPr>
            <w:r>
              <w:rPr>
                <w:rFonts w:hint="eastAsia" w:ascii="宋体" w:hAnsi="宋体" w:cs="宋体"/>
                <w:color w:val="auto"/>
                <w:szCs w:val="21"/>
                <w:highlight w:val="none"/>
              </w:rPr>
              <w:t xml:space="preserve">…</w:t>
            </w:r>
            <w:r/>
          </w:p>
        </w:tc>
        <w:tc>
          <w:tcPr>
            <w:tcW w:w="604"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8"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3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901"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819" w:type="pct"/>
            <w:vAlign w:val="center"/>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1"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82"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9"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c>
          <w:tcPr>
            <w:tcW w:w="413" w:type="pct"/>
            <w:textDirection w:val="lrTb"/>
            <w:noWrap w:val="false"/>
          </w:tcPr>
          <w:p>
            <w:pPr>
              <w:ind w:firstLine="400"/>
              <w:jc w:val="center"/>
              <w:widowControl/>
              <w:rPr>
                <w:rFonts w:ascii="宋体" w:hAnsi="宋体" w:cs="宋体"/>
                <w:color w:val="auto"/>
                <w:sz w:val="20"/>
                <w:szCs w:val="21"/>
                <w:highlight w:val="none"/>
              </w:rPr>
            </w:pPr>
            <w:r>
              <w:rPr>
                <w:rFonts w:ascii="宋体" w:hAnsi="宋体" w:cs="宋体"/>
                <w:color w:val="auto"/>
                <w:sz w:val="20"/>
                <w:szCs w:val="21"/>
                <w:highlight w:val="none"/>
              </w:rPr>
            </w:r>
            <w:r/>
          </w:p>
        </w:tc>
      </w:tr>
    </w:tbl>
    <w:p>
      <w:pPr>
        <w:ind w:firstLine="400"/>
        <w:jc w:val="left"/>
        <w:widowControl/>
        <w:rPr>
          <w:rFonts w:ascii="宋体" w:hAnsi="宋体" w:cs="宋体"/>
          <w:color w:val="auto"/>
          <w:sz w:val="20"/>
          <w:szCs w:val="21"/>
          <w:highlight w:val="none"/>
        </w:rPr>
      </w:pPr>
      <w:r>
        <w:rPr>
          <w:rFonts w:ascii="宋体" w:hAnsi="宋体" w:cs="宋体"/>
          <w:color w:val="auto"/>
          <w:sz w:val="20"/>
          <w:szCs w:val="21"/>
          <w:highlight w:val="none"/>
        </w:rPr>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1.按照采购需求详细填列；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3.相关证明材料附后。</w:t>
      </w:r>
      <w:r/>
    </w:p>
    <w:p>
      <w:pPr>
        <w:ind w:firstLine="480"/>
        <w:spacing w:line="500" w:lineRule="atLeast"/>
        <w:widowControl/>
        <w:rPr>
          <w:rFonts w:ascii="宋体" w:hAnsi="宋体"/>
          <w:bCs/>
          <w:color w:val="auto"/>
          <w:sz w:val="24"/>
          <w:highlight w:val="none"/>
        </w:rPr>
      </w:pPr>
      <w:r>
        <w:rPr>
          <w:rFonts w:ascii="宋体" w:hAnsi="宋体"/>
          <w:bCs/>
          <w:color w:val="auto"/>
          <w:sz w:val="24"/>
          <w:highlight w:val="none"/>
        </w:rPr>
      </w:r>
      <w:r/>
    </w:p>
    <w:p>
      <w:pPr>
        <w:ind w:firstLine="480"/>
        <w:spacing w:line="500" w:lineRule="atLeast"/>
        <w:widowControl/>
        <w:rPr>
          <w:rFonts w:ascii="宋体" w:hAnsi="宋体"/>
          <w:bCs/>
          <w:color w:val="auto"/>
          <w:sz w:val="24"/>
          <w:highlight w:val="none"/>
        </w:rPr>
      </w:pPr>
      <w:r>
        <w:rPr>
          <w:rFonts w:hint="eastAsia" w:ascii="宋体" w:hAnsi="宋体"/>
          <w:color w:val="auto"/>
          <w:szCs w:val="21"/>
          <w:highlight w:val="none"/>
        </w:rPr>
        <w:t xml:space="preserve">供应商名称（加盖CA电子公章）：</w:t>
      </w:r>
      <w:r>
        <w:rPr>
          <w:rFonts w:hint="eastAsia" w:ascii="宋体" w:hAnsi="宋体"/>
          <w:bCs/>
          <w:color w:val="auto"/>
          <w:sz w:val="24"/>
          <w:highlight w:val="none"/>
        </w:rPr>
        <w:t xml:space="preserve">      </w:t>
      </w:r>
      <w:r/>
    </w:p>
    <w:p>
      <w:pPr>
        <w:ind w:firstLine="840"/>
        <w:spacing w:line="500" w:lineRule="atLeast"/>
        <w:widowControl/>
        <w:rPr>
          <w:rFonts w:ascii="宋体" w:hAnsi="宋体"/>
          <w:bCs/>
          <w:color w:val="auto"/>
          <w:sz w:val="24"/>
          <w:highlight w:val="none"/>
        </w:rPr>
      </w:pPr>
      <w:r>
        <w:rPr>
          <w:rFonts w:hint="eastAsia" w:ascii="宋体" w:hAnsi="宋体" w:cs="宋体"/>
          <w:color w:val="auto"/>
          <w:szCs w:val="21"/>
          <w:highlight w:val="none"/>
        </w:rPr>
        <w:t xml:space="preserve">日   期：     </w:t>
      </w:r>
      <w:r>
        <w:rPr>
          <w:rFonts w:hint="eastAsia" w:ascii="宋体" w:hAnsi="宋体"/>
          <w:bCs/>
          <w:color w:val="auto"/>
          <w:sz w:val="24"/>
          <w:highlight w:val="none"/>
        </w:rPr>
        <w:t xml:space="preserve"> </w:t>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highlight w:val="none"/>
        </w:rPr>
      </w:pPr>
      <w:r>
        <w:rPr>
          <w:rFonts w:ascii="宋体" w:hAnsi="宋体"/>
          <w:b/>
          <w:bCs/>
          <w:color w:val="auto"/>
          <w:szCs w:val="21"/>
          <w:highlight w:val="none"/>
        </w:rPr>
      </w:r>
      <w:r>
        <w:rPr>
          <w:rFonts w:ascii="宋体" w:hAnsi="宋体"/>
          <w:b/>
          <w:bCs/>
          <w:color w:val="auto"/>
          <w:szCs w:val="21"/>
          <w:highlight w:val="none"/>
        </w:rPr>
      </w:r>
    </w:p>
    <w:p>
      <w:pPr>
        <w:jc w:val="left"/>
        <w:spacing w:line="360" w:lineRule="auto"/>
        <w:rPr>
          <w:rFonts w:ascii="宋体" w:hAnsi="宋体"/>
          <w:b/>
          <w:bCs/>
          <w:color w:val="auto"/>
          <w:highlight w:val="none"/>
        </w:rPr>
      </w:pPr>
      <w:r>
        <w:rPr>
          <w:rFonts w:ascii="宋体" w:hAnsi="宋体"/>
          <w:b/>
          <w:bCs/>
          <w:color w:val="auto"/>
          <w:szCs w:val="21"/>
          <w:highlight w:val="none"/>
        </w:rPr>
      </w:r>
      <w:r/>
    </w:p>
    <w:p>
      <w:pPr>
        <w:jc w:val="left"/>
        <w:spacing w:line="360" w:lineRule="auto"/>
        <w:rPr>
          <w:rFonts w:ascii="宋体" w:hAnsi="宋体"/>
          <w:b/>
          <w:color w:val="auto"/>
          <w:szCs w:val="21"/>
          <w:highlight w:val="none"/>
        </w:rPr>
      </w:pPr>
      <w:r>
        <w:rPr>
          <w:rFonts w:hint="eastAsia" w:ascii="宋体" w:hAnsi="宋体"/>
          <w:b/>
          <w:bCs/>
          <w:color w:val="auto"/>
          <w:szCs w:val="21"/>
          <w:highlight w:val="none"/>
        </w:rPr>
        <w:t xml:space="preserve">附件11：</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供应商近年类似业绩情况表</w:t>
      </w:r>
      <w:r/>
    </w:p>
    <w:p>
      <w:pPr>
        <w:pStyle w:val="1239"/>
        <w:rPr>
          <w:color w:val="auto"/>
          <w:highlight w:val="none"/>
        </w:rPr>
      </w:pPr>
      <w:r>
        <w:rPr>
          <w:color w:val="auto"/>
          <w:highlight w:val="none"/>
        </w:rPr>
      </w:r>
      <w:r/>
    </w:p>
    <w:tbl>
      <w:tblPr>
        <w:tblStyle w:val="1219"/>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W w:w="68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155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W w:w="141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业主单位及联系方式</w:t>
            </w:r>
            <w:r/>
          </w:p>
        </w:tc>
        <w:tc>
          <w:tcPr>
            <w:tcW w:w="9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项目合同价</w:t>
            </w:r>
            <w:r/>
          </w:p>
        </w:tc>
        <w:tc>
          <w:tcPr>
            <w:tcW w:w="15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项目概况</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项目实施期限</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firstLine="120"/>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W w:w="6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注：1.提供上述表格中业绩相应证明材料的原件扫描件</w:t>
      </w:r>
      <w:r>
        <w:rPr>
          <w:rFonts w:hint="eastAsia" w:ascii="宋体" w:hAnsi="宋体"/>
          <w:color w:val="auto"/>
          <w:szCs w:val="21"/>
          <w:highlight w:val="none"/>
        </w:rPr>
        <w:t xml:space="preserve">加盖CA电子公章</w:t>
      </w:r>
      <w:r>
        <w:rPr>
          <w:rFonts w:hint="eastAsia" w:ascii="宋体" w:hAnsi="宋体" w:cs="宋体"/>
          <w:color w:val="auto"/>
          <w:szCs w:val="21"/>
          <w:highlight w:val="none"/>
        </w:rPr>
        <w:t xml:space="preserve">。</w:t>
      </w:r>
      <w:r/>
    </w:p>
    <w:p>
      <w:pPr>
        <w:ind w:firstLine="96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2.如有需要说明的事项，请在备注中列明。</w:t>
      </w:r>
      <w:r/>
    </w:p>
    <w:p>
      <w:pPr>
        <w:jc w:val="left"/>
        <w:spacing w:line="360" w:lineRule="auto"/>
        <w:rPr>
          <w:rFonts w:ascii="宋体" w:hAnsi="宋体"/>
          <w:b/>
          <w:color w:val="auto"/>
          <w:szCs w:val="21"/>
          <w:highlight w:val="none"/>
        </w:rPr>
      </w:pPr>
      <w:r>
        <w:rPr>
          <w:rFonts w:ascii="宋体" w:hAnsi="宋体"/>
          <w:b/>
          <w:color w:val="auto"/>
          <w:szCs w:val="21"/>
          <w:highlight w:val="none"/>
        </w:rPr>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ind w:firstLine="420"/>
        <w:rPr>
          <w:rFonts w:ascii="宋体" w:hAnsi="宋体"/>
          <w:color w:val="auto"/>
          <w:szCs w:val="21"/>
          <w:highlight w:val="none"/>
        </w:rPr>
      </w:pPr>
      <w:r>
        <w:rPr>
          <w:rFonts w:hint="eastAsia" w:ascii="宋体" w:hAnsi="宋体"/>
          <w:color w:val="auto"/>
          <w:szCs w:val="21"/>
          <w:highlight w:val="none"/>
        </w:rPr>
        <w:t xml:space="preserve"> </w:t>
      </w:r>
      <w:r/>
    </w:p>
    <w:p>
      <w:pPr>
        <w:pStyle w:val="1234"/>
        <w:ind w:firstLine="0"/>
        <w:rPr>
          <w:color w:val="auto"/>
          <w:highlight w:val="none"/>
        </w:rPr>
      </w:pPr>
      <w:r>
        <w:rPr>
          <w:color w:val="auto"/>
          <w:highlight w:val="none"/>
        </w:rPr>
      </w:r>
      <w:r/>
    </w:p>
    <w:p>
      <w:pPr>
        <w:pStyle w:val="1234"/>
        <w:ind w:firstLine="0"/>
        <w:rPr>
          <w:color w:val="auto"/>
          <w:highlight w:val="none"/>
        </w:rPr>
      </w:pPr>
      <w:r>
        <w:rPr>
          <w:color w:val="auto"/>
          <w:highlight w:val="none"/>
        </w:rPr>
      </w:r>
      <w:r/>
    </w:p>
    <w:p>
      <w:pPr>
        <w:pStyle w:val="1234"/>
        <w:ind w:firstLine="0"/>
        <w:rPr>
          <w:color w:val="auto"/>
          <w:highlight w:val="none"/>
        </w:rPr>
      </w:pPr>
      <w:r>
        <w:rPr>
          <w:color w:val="auto"/>
          <w:highlight w:val="none"/>
        </w:rPr>
      </w:r>
      <w:r/>
    </w:p>
    <w:p>
      <w:pPr>
        <w:pStyle w:val="1234"/>
        <w:ind w:firstLine="0"/>
        <w:rPr>
          <w:color w:val="auto"/>
          <w:highlight w:val="none"/>
        </w:rPr>
      </w:pPr>
      <w:r>
        <w:rPr>
          <w:color w:val="auto"/>
          <w:highlight w:val="none"/>
        </w:rPr>
      </w:r>
      <w:r/>
    </w:p>
    <w:p>
      <w:pPr>
        <w:pStyle w:val="1234"/>
        <w:ind w:firstLine="0"/>
        <w:rPr>
          <w:color w:val="auto"/>
          <w:highlight w:val="none"/>
        </w:rPr>
      </w:pPr>
      <w:r>
        <w:rPr>
          <w:color w:val="auto"/>
          <w:highlight w:val="none"/>
        </w:rPr>
      </w:r>
      <w:r/>
    </w:p>
    <w:p>
      <w:pPr>
        <w:pStyle w:val="1234"/>
        <w:ind w:firstLine="0"/>
        <w:rPr>
          <w:color w:val="auto"/>
          <w:highlight w:val="none"/>
        </w:rPr>
      </w:pPr>
      <w:r>
        <w:rPr>
          <w:color w:val="auto"/>
          <w:highlight w:val="none"/>
        </w:rPr>
      </w:r>
      <w:r/>
    </w:p>
    <w:p>
      <w:pPr>
        <w:pStyle w:val="1234"/>
        <w:ind w:firstLine="0"/>
        <w:rPr>
          <w:color w:val="auto"/>
          <w:highlight w:val="none"/>
        </w:rPr>
      </w:pPr>
      <w:r>
        <w:rPr>
          <w:color w:val="auto"/>
          <w:highlight w:val="none"/>
        </w:rPr>
      </w:r>
      <w:r/>
    </w:p>
    <w:p>
      <w:pPr>
        <w:pStyle w:val="1234"/>
        <w:ind w:firstLine="0"/>
        <w:rPr>
          <w:color w:val="auto"/>
          <w:highlight w:val="none"/>
        </w:rPr>
      </w:pPr>
      <w:r>
        <w:rPr>
          <w:color w:val="auto"/>
          <w:highlight w:val="none"/>
        </w:rPr>
      </w:r>
      <w:r/>
    </w:p>
    <w:p>
      <w:pPr>
        <w:pStyle w:val="1234"/>
        <w:ind w:firstLine="0"/>
        <w:rPr>
          <w:color w:val="auto"/>
          <w:highlight w:val="none"/>
        </w:rPr>
      </w:pPr>
      <w:r>
        <w:rPr>
          <w:color w:val="auto"/>
          <w:highlight w:val="none"/>
        </w:rPr>
      </w:r>
      <w:r/>
    </w:p>
    <w:p>
      <w:pPr>
        <w:pStyle w:val="1234"/>
        <w:ind w:firstLine="0"/>
        <w:rPr>
          <w:color w:val="auto"/>
          <w:highlight w:val="none"/>
        </w:rPr>
      </w:pPr>
      <w:r>
        <w:rPr>
          <w:color w:val="auto"/>
          <w:highlight w:val="none"/>
        </w:rPr>
      </w:r>
      <w:r/>
    </w:p>
    <w:p>
      <w:pPr>
        <w:pStyle w:val="1234"/>
        <w:ind w:firstLine="0"/>
        <w:rPr>
          <w:color w:val="auto"/>
          <w:highlight w:val="none"/>
        </w:rPr>
      </w:pPr>
      <w:r>
        <w:rPr>
          <w:color w:val="auto"/>
          <w:highlight w:val="none"/>
        </w:rPr>
      </w:r>
      <w:r>
        <w:rPr>
          <w:color w:val="auto"/>
          <w:highlight w:val="none"/>
        </w:rPr>
      </w:r>
    </w:p>
    <w:p>
      <w:pPr>
        <w:pStyle w:val="1234"/>
        <w:ind w:firstLine="0"/>
        <w:rPr>
          <w:color w:val="auto"/>
          <w:highlight w:val="none"/>
        </w:rPr>
      </w:pPr>
      <w:r>
        <w:rPr>
          <w:color w:val="auto"/>
          <w:highlight w:val="none"/>
        </w:rPr>
      </w:r>
      <w:r>
        <w:rPr>
          <w:color w:val="auto"/>
          <w:highlight w:val="none"/>
        </w:rPr>
      </w:r>
    </w:p>
    <w:p>
      <w:pPr>
        <w:pStyle w:val="1234"/>
        <w:ind w:firstLine="0"/>
        <w:rPr>
          <w:color w:val="auto"/>
          <w:highlight w:val="none"/>
        </w:rPr>
      </w:pPr>
      <w:r>
        <w:rPr>
          <w:color w:val="auto"/>
          <w:highlight w:val="none"/>
        </w:rPr>
      </w:r>
      <w:r>
        <w:rPr>
          <w:color w:val="auto"/>
          <w:highlight w:val="none"/>
        </w:rPr>
      </w:r>
    </w:p>
    <w:p>
      <w:pPr>
        <w:pStyle w:val="1234"/>
        <w:ind w:firstLine="0"/>
        <w:rPr>
          <w:color w:val="auto"/>
          <w:highlight w:val="none"/>
        </w:rPr>
      </w:pPr>
      <w:r>
        <w:rPr>
          <w:color w:val="auto"/>
          <w:highlight w:val="none"/>
        </w:rPr>
      </w:r>
      <w:r>
        <w:rPr>
          <w:color w:val="auto"/>
          <w:highlight w:val="none"/>
        </w:rPr>
      </w:r>
    </w:p>
    <w:p>
      <w:pPr>
        <w:pStyle w:val="1234"/>
        <w:ind w:firstLine="0"/>
        <w:rPr>
          <w:color w:val="auto"/>
          <w:highlight w:val="none"/>
        </w:rPr>
      </w:pPr>
      <w:r>
        <w:rPr>
          <w:color w:val="auto"/>
          <w:highlight w:val="none"/>
        </w:rPr>
      </w:r>
      <w:r>
        <w:rPr>
          <w:color w:val="auto"/>
          <w:highlight w:val="none"/>
        </w:rPr>
      </w:r>
    </w:p>
    <w:p>
      <w:pPr>
        <w:pStyle w:val="1234"/>
        <w:ind w:firstLine="0"/>
        <w:rPr>
          <w:color w:val="auto"/>
          <w:highlight w:val="none"/>
        </w:rPr>
      </w:pPr>
      <w:r>
        <w:rPr>
          <w:color w:val="auto"/>
          <w:highlight w:val="none"/>
        </w:rPr>
      </w:r>
      <w:r>
        <w:rPr>
          <w:color w:val="auto"/>
          <w:highlight w:val="none"/>
        </w:rPr>
      </w:r>
    </w:p>
    <w:p>
      <w:pPr>
        <w:pStyle w:val="1234"/>
        <w:ind w:firstLine="0"/>
        <w:rPr>
          <w:color w:val="auto"/>
          <w:highlight w:val="none"/>
        </w:rPr>
      </w:pPr>
      <w:r>
        <w:rPr>
          <w:color w:val="auto"/>
          <w:highlight w:val="none"/>
        </w:rPr>
      </w:r>
      <w:r>
        <w:rPr>
          <w:color w:val="auto"/>
          <w:highlight w:val="none"/>
        </w:rPr>
      </w:r>
    </w:p>
    <w:p>
      <w:pPr>
        <w:pStyle w:val="1234"/>
        <w:ind w:firstLine="0"/>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b/>
          <w:bCs/>
          <w:color w:val="auto"/>
          <w:szCs w:val="21"/>
          <w:highlight w:val="none"/>
        </w:rPr>
      </w:pPr>
      <w:r>
        <w:rPr>
          <w:rFonts w:hint="eastAsia" w:ascii="宋体" w:hAnsi="宋体" w:cs="宋体"/>
          <w:b/>
          <w:bCs/>
          <w:color w:val="auto"/>
          <w:szCs w:val="21"/>
          <w:highlight w:val="none"/>
        </w:rPr>
        <w:t xml:space="preserve"> </w:t>
      </w:r>
      <w:bookmarkStart w:id="131" w:name="_Toc456102678"/>
      <w:r/>
      <w:bookmarkStart w:id="132" w:name="_Toc456102124"/>
      <w:r/>
      <w:bookmarkStart w:id="133" w:name="_Toc433707803"/>
      <w:r/>
      <w:bookmarkStart w:id="134" w:name="_Toc456102501"/>
      <w:r>
        <w:rPr>
          <w:rFonts w:hint="eastAsia" w:ascii="宋体" w:hAnsi="宋体"/>
          <w:b/>
          <w:color w:val="auto"/>
          <w:szCs w:val="21"/>
          <w:highlight w:val="none"/>
        </w:rPr>
        <w:t xml:space="preserve">附件12：</w:t>
      </w:r>
      <w:bookmarkEnd w:id="131"/>
      <w:r/>
      <w:bookmarkEnd w:id="132"/>
      <w:r/>
      <w:bookmarkEnd w:id="133"/>
      <w:r/>
      <w:bookmarkEnd w:id="134"/>
      <w:r/>
      <w:r/>
    </w:p>
    <w:p>
      <w:pPr>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562"/>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承诺书</w:t>
      </w:r>
      <w:r/>
    </w:p>
    <w:p>
      <w:pPr>
        <w:spacing w:line="400" w:lineRule="exact"/>
        <w:rPr>
          <w:rFonts w:ascii="宋体" w:hAnsi="宋体" w:cs="宋体"/>
          <w:color w:val="auto"/>
          <w:highlight w:val="none"/>
        </w:rPr>
      </w:pPr>
      <w:r>
        <w:rPr>
          <w:rFonts w:hint="eastAsia" w:ascii="宋体" w:hAnsi="宋体" w:cs="宋体"/>
          <w:color w:val="auto"/>
          <w:highlight w:val="none"/>
          <w:u w:val="single"/>
        </w:rPr>
        <w:t xml:space="preserve">采购人名称</w:t>
      </w:r>
      <w:r>
        <w:rPr>
          <w:rFonts w:hint="eastAsia" w:ascii="宋体" w:hAnsi="宋体" w:cs="宋体"/>
          <w:color w:val="auto"/>
          <w:highlight w:val="none"/>
        </w:rPr>
        <w:t xml:space="preserve">：</w:t>
      </w:r>
      <w:r/>
    </w:p>
    <w:p>
      <w:pPr>
        <w:ind w:firstLine="520"/>
        <w:spacing w:line="500" w:lineRule="exact"/>
        <w:rPr>
          <w:rFonts w:ascii="宋体" w:hAnsi="宋体" w:cs="宋体"/>
          <w:color w:val="auto"/>
          <w:highlight w:val="none"/>
        </w:rPr>
      </w:pPr>
      <w:r>
        <w:rPr>
          <w:rFonts w:hint="eastAsia" w:ascii="宋体" w:hAnsi="宋体" w:cs="宋体"/>
          <w:color w:val="auto"/>
          <w:highlight w:val="none"/>
        </w:rPr>
        <w:t xml:space="preserve">我单位郑重承诺以下事项：</w:t>
      </w:r>
      <w:r/>
    </w:p>
    <w:p>
      <w:pPr>
        <w:ind w:firstLine="420"/>
        <w:spacing w:line="500" w:lineRule="exact"/>
        <w:rPr>
          <w:rFonts w:ascii="宋体" w:hAnsi="宋体" w:cs="宋体"/>
          <w:color w:val="auto"/>
          <w:highlight w:val="none"/>
        </w:rPr>
      </w:pPr>
      <w:r>
        <w:rPr>
          <w:rFonts w:hint="eastAsia" w:ascii="宋体" w:hAnsi="宋体" w:cs="宋体"/>
          <w:color w:val="auto"/>
          <w:highlight w:val="none"/>
        </w:rPr>
        <w:t xml:space="preserve">一、我单位同意并响应</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rPr>
        <w:t xml:space="preserve">项目（项目编号为：</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rPr>
        <w:t xml:space="preserve">）招标磋商文件的所有内容。</w:t>
      </w:r>
      <w:r/>
    </w:p>
    <w:p>
      <w:pPr>
        <w:spacing w:line="360" w:lineRule="auto"/>
        <w:rPr>
          <w:rFonts w:ascii="宋体" w:hAnsi="宋体" w:cs="宋体"/>
          <w:color w:val="auto"/>
          <w:highlight w:val="none"/>
        </w:rPr>
      </w:pPr>
      <w:r>
        <w:rPr>
          <w:rFonts w:hint="eastAsia" w:ascii="宋体" w:hAnsi="宋体" w:cs="宋体"/>
          <w:color w:val="auto"/>
          <w:highlight w:val="none"/>
        </w:rPr>
        <w:t xml:space="preserve">    二、我单位提供的服务内容及服务质量完全响应磋商文件要求。如我方未能及时响应上述要求,则采购人有权对我方进行处罚直至解除合同。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三、我单位未被“信用中国”网站（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highlight w:val="none"/>
        </w:rPr>
        <w:t xml:space="preserve">www.creditchina.gov.cn</w:t>
      </w:r>
      <w:r>
        <w:rPr>
          <w:rFonts w:hint="eastAsia" w:ascii="宋体" w:hAnsi="宋体" w:cs="宋体"/>
          <w:color w:val="auto"/>
          <w:highlight w:val="none"/>
        </w:rPr>
        <w:fldChar w:fldCharType="end"/>
      </w:r>
      <w:r>
        <w:rPr>
          <w:rFonts w:hint="eastAsia" w:ascii="宋体" w:hAnsi="宋体" w:cs="宋体"/>
          <w:color w:val="auto"/>
          <w:highlight w:val="none"/>
        </w:rPr>
        <w:t xml:space="preserve">）列入失信被执行人、重大税收违法案件当事人名单、政府采购严重违法失信行为记录名单。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四、如在履约过程中造成任何损失，由我方全部承担赔偿。</w:t>
      </w:r>
      <w:r/>
    </w:p>
    <w:p>
      <w:pPr>
        <w:spacing w:line="400" w:lineRule="exact"/>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highlight w:val="none"/>
        </w:rPr>
      </w:pPr>
      <w:r>
        <w:rPr>
          <w:rFonts w:hint="eastAsia" w:ascii="宋体" w:hAnsi="宋体" w:cs="宋体"/>
          <w:color w:val="auto"/>
          <w:highlight w:val="none"/>
        </w:rPr>
        <w:t xml:space="preserve">         特此承诺</w:t>
      </w:r>
      <w:r/>
    </w:p>
    <w:p>
      <w:pPr>
        <w:pStyle w:val="1234"/>
        <w:ind w:firstLine="422"/>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1234"/>
        <w:ind w:firstLine="422"/>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1235"/>
        <w:rPr>
          <w:color w:val="auto"/>
          <w:highlight w:val="none"/>
        </w:rPr>
      </w:pPr>
      <w:r>
        <w:rPr>
          <w:color w:val="auto"/>
          <w:highlight w:val="none"/>
        </w:rPr>
      </w:r>
      <w:r/>
    </w:p>
    <w:p>
      <w:pPr>
        <w:pStyle w:val="1234"/>
        <w:jc w:val="right"/>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供应商（加盖CA电子公章）：</w:t>
      </w:r>
      <w:r/>
    </w:p>
    <w:p>
      <w:pPr>
        <w:pStyle w:val="1234"/>
        <w:jc w:val="right"/>
        <w:rPr>
          <w:rFonts w:ascii="宋体" w:hAnsi="宋体" w:eastAsia="宋体" w:cs="宋体"/>
          <w:color w:val="auto"/>
          <w:sz w:val="21"/>
          <w:szCs w:val="24"/>
          <w:highlight w:val="none"/>
        </w:rPr>
      </w:pPr>
      <w:r>
        <w:rPr>
          <w:rFonts w:ascii="宋体" w:hAnsi="宋体" w:eastAsia="宋体" w:cs="宋体"/>
          <w:color w:val="auto"/>
          <w:sz w:val="21"/>
          <w:szCs w:val="24"/>
          <w:highlight w:val="none"/>
        </w:rPr>
      </w:r>
      <w:r/>
    </w:p>
    <w:p>
      <w:pPr>
        <w:pStyle w:val="1234"/>
        <w:jc w:val="right"/>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法定代表人或授权代表（签字或盖章）：</w:t>
      </w:r>
      <w:r/>
    </w:p>
    <w:p>
      <w:pPr>
        <w:pStyle w:val="1234"/>
        <w:jc w:val="right"/>
        <w:rPr>
          <w:rFonts w:ascii="宋体" w:hAnsi="宋体" w:eastAsia="宋体" w:cs="宋体"/>
          <w:color w:val="auto"/>
          <w:sz w:val="21"/>
          <w:szCs w:val="24"/>
          <w:highlight w:val="none"/>
        </w:rPr>
      </w:pPr>
      <w:r>
        <w:rPr>
          <w:rFonts w:ascii="宋体" w:hAnsi="宋体" w:eastAsia="宋体" w:cs="宋体"/>
          <w:color w:val="auto"/>
          <w:sz w:val="21"/>
          <w:szCs w:val="24"/>
          <w:highlight w:val="none"/>
        </w:rPr>
      </w:r>
      <w:r/>
    </w:p>
    <w:p>
      <w:pPr>
        <w:pStyle w:val="1234"/>
        <w:jc w:val="right"/>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b/>
          <w:bCs/>
          <w:color w:val="auto"/>
          <w:highlight w:val="none"/>
        </w:rPr>
      </w:pPr>
      <w:r>
        <w:rPr>
          <w:rFonts w:hint="eastAsia" w:ascii="宋体" w:hAnsi="宋体"/>
          <w:b/>
          <w:color w:val="auto"/>
          <w:szCs w:val="21"/>
          <w:highlight w:val="none"/>
        </w:rPr>
        <w:t xml:space="preserve">附件13：</w:t>
      </w:r>
      <w:r>
        <w:rPr>
          <w:b/>
          <w:bCs/>
          <w:color w:val="auto"/>
          <w:highlight w:val="none"/>
        </w:rPr>
        <w:t xml:space="preserve">本项目要求的其他资料</w:t>
      </w:r>
      <w:r/>
    </w:p>
    <w:p>
      <w:pPr>
        <w:ind w:firstLine="630"/>
        <w:rPr>
          <w:color w:val="auto"/>
          <w:highlight w:val="none"/>
        </w:rPr>
      </w:pPr>
      <w:r>
        <w:rPr>
          <w:color w:val="auto"/>
          <w:highlight w:val="none"/>
        </w:rPr>
      </w:r>
      <w:r/>
    </w:p>
    <w:p>
      <w:pPr>
        <w:ind w:firstLine="630"/>
        <w:spacing w:line="360" w:lineRule="auto"/>
        <w:rPr>
          <w:rFonts w:ascii="宋体" w:hAnsi="宋体"/>
          <w:color w:val="auto"/>
          <w:highlight w:val="none"/>
        </w:rPr>
      </w:pPr>
      <w:r>
        <w:rPr>
          <w:rFonts w:hint="eastAsia" w:ascii="宋体" w:hAnsi="宋体"/>
          <w:color w:val="auto"/>
          <w:highlight w:val="none"/>
        </w:rPr>
        <w:t xml:space="preserve">1.供应商认为有必要提供的其他证明材料（如有自拟并自行添加）。</w:t>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rPr>
          <w:color w:val="auto"/>
          <w:highlight w:val="none"/>
        </w:rP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ind w:firstLine="630"/>
        <w:rPr>
          <w:color w:val="auto"/>
          <w:highlight w:val="none"/>
        </w:rPr>
      </w:pPr>
      <w:r>
        <w:rPr>
          <w:color w:val="auto"/>
          <w:highlight w:val="none"/>
        </w:rPr>
      </w:r>
      <w:r/>
    </w:p>
    <w:p>
      <w:pPr>
        <w:pStyle w:val="1266"/>
        <w:jc w:val="center"/>
        <w:rPr>
          <w:b/>
          <w:bCs/>
          <w:color w:val="auto"/>
          <w:highlight w:val="none"/>
        </w:rPr>
      </w:pPr>
      <w:r>
        <w:rPr>
          <w:b/>
          <w:bCs/>
          <w:color w:val="auto"/>
          <w:highlight w:val="none"/>
        </w:rPr>
        <w:t xml:space="preserve">质疑函范本</w:t>
      </w:r>
      <w:r/>
    </w:p>
    <w:p>
      <w:pPr>
        <w:pStyle w:val="1266"/>
        <w:rPr>
          <w:color w:val="auto"/>
          <w:highlight w:val="none"/>
        </w:rPr>
      </w:pPr>
      <w:r>
        <w:rPr>
          <w:color w:val="auto"/>
          <w:highlight w:val="none"/>
        </w:rPr>
        <w:t xml:space="preserve">一、质疑供应商基本信息</w:t>
      </w:r>
      <w:r/>
    </w:p>
    <w:p>
      <w:pPr>
        <w:pStyle w:val="1266"/>
        <w:rPr>
          <w:color w:val="auto"/>
          <w:highlight w:val="none"/>
        </w:rPr>
      </w:pPr>
      <w:r>
        <w:rPr>
          <w:color w:val="auto"/>
          <w:highlight w:val="none"/>
        </w:rPr>
        <w:t xml:space="preserve">质疑供应商：                                                              </w:t>
      </w:r>
      <w:r/>
    </w:p>
    <w:p>
      <w:pPr>
        <w:pStyle w:val="1266"/>
        <w:rPr>
          <w:color w:val="auto"/>
          <w:highlight w:val="none"/>
        </w:rPr>
      </w:pPr>
      <w:r>
        <w:rPr>
          <w:color w:val="auto"/>
          <w:highlight w:val="none"/>
        </w:rPr>
        <w:t xml:space="preserve">地址：                             邮编：                                    </w:t>
      </w:r>
      <w:r/>
    </w:p>
    <w:p>
      <w:pPr>
        <w:pStyle w:val="1266"/>
        <w:rPr>
          <w:color w:val="auto"/>
          <w:highlight w:val="none"/>
        </w:rPr>
      </w:pPr>
      <w:r>
        <w:rPr>
          <w:color w:val="auto"/>
          <w:highlight w:val="none"/>
        </w:rPr>
        <w:t xml:space="preserve">联系人：                      联系电话：                                       </w:t>
      </w:r>
      <w:r/>
    </w:p>
    <w:p>
      <w:pPr>
        <w:pStyle w:val="1266"/>
        <w:rPr>
          <w:color w:val="auto"/>
          <w:highlight w:val="none"/>
        </w:rPr>
      </w:pPr>
      <w:r>
        <w:rPr>
          <w:color w:val="auto"/>
          <w:highlight w:val="none"/>
        </w:rPr>
        <w:t xml:space="preserve">授权代表：                                                                 </w:t>
      </w:r>
      <w:r/>
    </w:p>
    <w:p>
      <w:pPr>
        <w:pStyle w:val="1266"/>
        <w:rPr>
          <w:color w:val="auto"/>
          <w:highlight w:val="none"/>
        </w:rPr>
      </w:pPr>
      <w:r>
        <w:rPr>
          <w:color w:val="auto"/>
          <w:highlight w:val="none"/>
        </w:rPr>
        <w:t xml:space="preserve">联系电话：                                                                </w:t>
      </w:r>
      <w:r/>
    </w:p>
    <w:p>
      <w:pPr>
        <w:pStyle w:val="1266"/>
        <w:rPr>
          <w:color w:val="auto"/>
          <w:highlight w:val="none"/>
        </w:rPr>
      </w:pPr>
      <w:r>
        <w:rPr>
          <w:color w:val="auto"/>
          <w:highlight w:val="none"/>
        </w:rPr>
        <w:t xml:space="preserve">地址：                         邮编：                                     </w:t>
      </w:r>
      <w:r/>
    </w:p>
    <w:p>
      <w:pPr>
        <w:pStyle w:val="1266"/>
        <w:rPr>
          <w:color w:val="auto"/>
          <w:highlight w:val="none"/>
        </w:rPr>
      </w:pPr>
      <w:r>
        <w:rPr>
          <w:color w:val="auto"/>
          <w:highlight w:val="none"/>
        </w:rPr>
        <w:t xml:space="preserve">二、质疑项目基本情况</w:t>
      </w:r>
      <w:r/>
    </w:p>
    <w:p>
      <w:pPr>
        <w:pStyle w:val="1266"/>
        <w:rPr>
          <w:color w:val="auto"/>
          <w:highlight w:val="none"/>
        </w:rPr>
      </w:pPr>
      <w:r>
        <w:rPr>
          <w:color w:val="auto"/>
          <w:highlight w:val="none"/>
        </w:rPr>
        <w:t xml:space="preserve">质疑项目的名称：                                                          </w:t>
      </w:r>
      <w:r/>
    </w:p>
    <w:p>
      <w:pPr>
        <w:pStyle w:val="1266"/>
        <w:rPr>
          <w:color w:val="auto"/>
          <w:highlight w:val="none"/>
        </w:rPr>
      </w:pPr>
      <w:r>
        <w:rPr>
          <w:color w:val="auto"/>
          <w:highlight w:val="none"/>
        </w:rPr>
        <w:t xml:space="preserve">质疑项目的编号：                         包号：                           </w:t>
      </w:r>
      <w:r/>
    </w:p>
    <w:p>
      <w:pPr>
        <w:pStyle w:val="1266"/>
        <w:rPr>
          <w:color w:val="auto"/>
          <w:highlight w:val="none"/>
        </w:rPr>
      </w:pPr>
      <w:r>
        <w:rPr>
          <w:color w:val="auto"/>
          <w:highlight w:val="none"/>
        </w:rPr>
        <w:t xml:space="preserve">采购人名称：                                                              </w:t>
      </w:r>
      <w:r/>
    </w:p>
    <w:p>
      <w:pPr>
        <w:pStyle w:val="1266"/>
        <w:rPr>
          <w:color w:val="auto"/>
          <w:highlight w:val="none"/>
        </w:rPr>
      </w:pPr>
      <w:r>
        <w:rPr>
          <w:color w:val="auto"/>
          <w:highlight w:val="none"/>
        </w:rPr>
        <w:t xml:space="preserve">采购文件获取日期：                                                        </w:t>
      </w:r>
      <w:r/>
    </w:p>
    <w:p>
      <w:pPr>
        <w:pStyle w:val="1266"/>
        <w:rPr>
          <w:color w:val="auto"/>
          <w:highlight w:val="none"/>
        </w:rPr>
      </w:pPr>
      <w:r>
        <w:rPr>
          <w:color w:val="auto"/>
          <w:highlight w:val="none"/>
        </w:rPr>
        <w:t xml:space="preserve">三、质疑事项具体内容</w:t>
      </w:r>
      <w:r/>
    </w:p>
    <w:p>
      <w:pPr>
        <w:pStyle w:val="1266"/>
        <w:rPr>
          <w:color w:val="auto"/>
          <w:highlight w:val="none"/>
        </w:rPr>
      </w:pPr>
      <w:r>
        <w:rPr>
          <w:color w:val="auto"/>
          <w:highlight w:val="none"/>
        </w:rPr>
        <w:t xml:space="preserve">质疑事项1：                                                              </w:t>
      </w:r>
      <w:r/>
    </w:p>
    <w:p>
      <w:pPr>
        <w:pStyle w:val="1266"/>
        <w:rPr>
          <w:color w:val="auto"/>
          <w:highlight w:val="none"/>
        </w:rPr>
      </w:pPr>
      <w:r>
        <w:rPr>
          <w:color w:val="auto"/>
          <w:highlight w:val="none"/>
        </w:rPr>
        <w:t xml:space="preserve">事实依据：                                                                                                                                        </w:t>
      </w:r>
      <w:r/>
    </w:p>
    <w:p>
      <w:pPr>
        <w:pStyle w:val="1266"/>
        <w:rPr>
          <w:color w:val="auto"/>
          <w:highlight w:val="none"/>
        </w:rPr>
      </w:pPr>
      <w:r>
        <w:rPr>
          <w:color w:val="auto"/>
          <w:highlight w:val="none"/>
        </w:rPr>
        <w:t xml:space="preserve">法律依据：                                                                                                                                          </w:t>
      </w:r>
      <w:r/>
    </w:p>
    <w:p>
      <w:pPr>
        <w:pStyle w:val="1266"/>
        <w:rPr>
          <w:color w:val="auto"/>
          <w:highlight w:val="none"/>
        </w:rPr>
      </w:pPr>
      <w:r>
        <w:rPr>
          <w:color w:val="auto"/>
          <w:highlight w:val="none"/>
        </w:rPr>
        <w:t xml:space="preserve">质疑事项2</w:t>
      </w:r>
      <w:r/>
    </w:p>
    <w:p>
      <w:pPr>
        <w:pStyle w:val="1266"/>
        <w:rPr>
          <w:color w:val="auto"/>
          <w:highlight w:val="none"/>
        </w:rPr>
      </w:pPr>
      <w:r>
        <w:rPr>
          <w:color w:val="auto"/>
          <w:highlight w:val="none"/>
        </w:rPr>
        <w:t xml:space="preserve">……</w:t>
      </w:r>
      <w:r/>
    </w:p>
    <w:p>
      <w:pPr>
        <w:pStyle w:val="1266"/>
        <w:rPr>
          <w:color w:val="auto"/>
          <w:highlight w:val="none"/>
        </w:rPr>
      </w:pPr>
      <w:r>
        <w:rPr>
          <w:color w:val="auto"/>
          <w:highlight w:val="none"/>
        </w:rPr>
        <w:t xml:space="preserve">四、与质疑事项相关的质疑请求</w:t>
      </w:r>
      <w:r/>
    </w:p>
    <w:p>
      <w:pPr>
        <w:pStyle w:val="1266"/>
        <w:rPr>
          <w:color w:val="auto"/>
          <w:highlight w:val="none"/>
        </w:rPr>
      </w:pPr>
      <w:r>
        <w:rPr>
          <w:color w:val="auto"/>
          <w:highlight w:val="none"/>
        </w:rPr>
        <w:t xml:space="preserve">请求：                                                                     </w:t>
      </w:r>
      <w:r/>
    </w:p>
    <w:p>
      <w:pPr>
        <w:pStyle w:val="1266"/>
        <w:rPr>
          <w:color w:val="auto"/>
          <w:highlight w:val="none"/>
        </w:rPr>
      </w:pPr>
      <w:r>
        <w:rPr>
          <w:color w:val="auto"/>
          <w:highlight w:val="none"/>
        </w:rPr>
        <w:t xml:space="preserve">签字(</w:t>
      </w:r>
      <w:r>
        <w:rPr>
          <w:rFonts w:hint="eastAsia"/>
          <w:color w:val="auto"/>
          <w:highlight w:val="none"/>
        </w:rPr>
        <w:t xml:space="preserve">签字或盖章</w:t>
      </w:r>
      <w:r>
        <w:rPr>
          <w:color w:val="auto"/>
          <w:highlight w:val="none"/>
        </w:rPr>
        <w:t xml:space="preserve">)：                   公章：                      </w:t>
      </w:r>
      <w:r/>
    </w:p>
    <w:p>
      <w:pPr>
        <w:pStyle w:val="1266"/>
        <w:rPr>
          <w:color w:val="auto"/>
          <w:highlight w:val="none"/>
        </w:rPr>
      </w:pPr>
      <w:r>
        <w:rPr>
          <w:color w:val="auto"/>
          <w:highlight w:val="none"/>
        </w:rPr>
        <w:t xml:space="preserve">日期：    </w:t>
      </w:r>
      <w:r/>
    </w:p>
    <w:p>
      <w:pPr>
        <w:pStyle w:val="1266"/>
        <w:rPr>
          <w:color w:val="auto"/>
          <w:highlight w:val="none"/>
        </w:rPr>
      </w:pPr>
      <w:r>
        <w:rPr>
          <w:color w:val="auto"/>
          <w:highlight w:val="none"/>
        </w:rPr>
      </w:r>
      <w:r/>
    </w:p>
    <w:p>
      <w:pPr>
        <w:pStyle w:val="1266"/>
        <w:rPr>
          <w:color w:val="auto"/>
          <w:highlight w:val="none"/>
        </w:rPr>
      </w:pPr>
      <w:r>
        <w:rPr>
          <w:color w:val="auto"/>
          <w:highlight w:val="none"/>
        </w:rPr>
        <w:t xml:space="preserve">质疑函制作说明：</w:t>
      </w:r>
      <w:r/>
    </w:p>
    <w:p>
      <w:pPr>
        <w:pStyle w:val="1266"/>
        <w:rPr>
          <w:color w:val="auto"/>
          <w:highlight w:val="none"/>
        </w:rPr>
      </w:pPr>
      <w:r>
        <w:rPr>
          <w:color w:val="auto"/>
          <w:highlight w:val="none"/>
        </w:rPr>
        <w:t xml:space="preserve">1.供应商提出质疑时，应提交质疑函和必要的证明材料。</w:t>
      </w:r>
      <w:r/>
    </w:p>
    <w:p>
      <w:pPr>
        <w:pStyle w:val="1266"/>
        <w:rPr>
          <w:color w:val="auto"/>
          <w:highlight w:val="none"/>
        </w:rPr>
      </w:pPr>
      <w:r>
        <w:rPr>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266"/>
        <w:rPr>
          <w:color w:val="auto"/>
          <w:highlight w:val="none"/>
        </w:rPr>
      </w:pPr>
      <w:r>
        <w:rPr>
          <w:color w:val="auto"/>
          <w:highlight w:val="none"/>
        </w:rPr>
        <w:t xml:space="preserve">3.质疑供应商若对项目的某一分包进行质疑，质疑函中应列明具体分包号。</w:t>
      </w:r>
      <w:r/>
    </w:p>
    <w:p>
      <w:pPr>
        <w:pStyle w:val="1266"/>
        <w:rPr>
          <w:color w:val="auto"/>
          <w:highlight w:val="none"/>
        </w:rPr>
      </w:pPr>
      <w:r>
        <w:rPr>
          <w:color w:val="auto"/>
          <w:highlight w:val="none"/>
        </w:rPr>
        <w:t xml:space="preserve">4.质疑函的质疑事项应具体、明确，并有必要的事实依据和法律依据。</w:t>
      </w:r>
      <w:r/>
    </w:p>
    <w:p>
      <w:pPr>
        <w:pStyle w:val="1266"/>
        <w:rPr>
          <w:color w:val="auto"/>
          <w:highlight w:val="none"/>
        </w:rPr>
      </w:pPr>
      <w:r>
        <w:rPr>
          <w:color w:val="auto"/>
          <w:highlight w:val="none"/>
        </w:rPr>
        <w:t xml:space="preserve">5.质疑函的质疑请求应与质疑事项相关。</w:t>
      </w:r>
      <w:r/>
    </w:p>
    <w:p>
      <w:pPr>
        <w:pStyle w:val="1266"/>
        <w:rPr>
          <w:color w:val="auto"/>
          <w:highlight w:val="none"/>
        </w:rPr>
      </w:pPr>
      <w:r>
        <w:rPr>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630"/>
        <w:rPr>
          <w:color w:val="auto"/>
          <w:highlight w:val="none"/>
        </w:rPr>
      </w:pPr>
      <w:r>
        <w:rPr>
          <w:color w:val="auto"/>
          <w:highlight w:val="none"/>
        </w:rPr>
      </w:r>
      <w:r/>
    </w:p>
    <w:sectPr>
      <w:footerReference w:type="default" r:id="rId22"/>
      <w:footerReference w:type="first" r:id="rId23"/>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等线 Light">
    <w:panose1 w:val="02010600030101010101"/>
  </w:font>
  <w:font w:name="Courier New">
    <w:panose1 w:val="02070309020205020404"/>
  </w:font>
  <w:font w:name="黑体">
    <w:panose1 w:val="02010609060101010101"/>
  </w:font>
  <w:font w:name="Verdana">
    <w:panose1 w:val="020B0604030504040204"/>
  </w:font>
  <w:font w:name="仿宋_GB2312">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jc w:val="both"/>
    </w:pPr>
    <w:r/>
    <w:r/>
  </w:p>
  <w:p>
    <w:pPr>
      <w:pStyle w:val="12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jc w:val="both"/>
    </w:pPr>
    <w:r/>
    <w:r/>
  </w:p>
  <w:p>
    <w:pPr>
      <w:pStyle w:val="12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4647" cy="13143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24647" cy="131433"/>
                      </a:xfrm>
                      <a:prstGeom prst="rect">
                        <a:avLst/>
                      </a:prstGeom>
                      <a:noFill/>
                      <a:ln>
                        <a:noFill/>
                      </a:ln>
                    </wps:spPr>
                    <wps:txbx>
                      <w:txbxContent>
                        <w:p>
                          <w:pPr>
                            <w:pStyle w:val="1227"/>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741" cy="131433"/>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111740" cy="131433"/>
                      </a:xfrm>
                      <a:prstGeom prst="rect">
                        <a:avLst/>
                      </a:prstGeom>
                      <a:noFill/>
                      <a:ln>
                        <a:noFill/>
                      </a:ln>
                    </wps:spPr>
                    <wps:txbx>
                      <w:txbxContent>
                        <w:p>
                          <w:pPr>
                            <w:pStyle w:val="1227"/>
                          </w:pPr>
                          <w:r>
                            <w:fldChar w:fldCharType="begin"/>
                          </w:r>
                          <w:r>
                            <w:instrText xml:space="preserve"> PAGE  \* MERGEFORMAT </w:instrText>
                          </w:r>
                          <w:r>
                            <w:fldChar w:fldCharType="separate"/>
                          </w:r>
                          <w:r>
                            <w:t xml:space="preserve">39</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8pt;height:10.3pt;mso-wrap-distance-left:9.0pt;mso-wrap-distance-top:0.0pt;mso-wrap-distance-right:9.0pt;mso-wrap-distance-bottom:0.0pt;visibility:visible;" filled="f" stroked="f">
              <v:textbox inset="0,0,0,0">
                <w:txbxContent>
                  <w:p>
                    <w:pPr>
                      <w:pStyle w:val="122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125031" cy="131433"/>
                      </a:xfrm>
                      <a:prstGeom prst="rect">
                        <a:avLst/>
                      </a:prstGeom>
                      <a:noFill/>
                      <a:ln>
                        <a:noFill/>
                      </a:ln>
                    </wps:spPr>
                    <wps:txbx>
                      <w:txbxContent>
                        <w:p>
                          <w:pPr>
                            <w:pStyle w:val="1227"/>
                          </w:pPr>
                          <w:r>
                            <w:fldChar w:fldCharType="begin"/>
                          </w:r>
                          <w:r>
                            <w:instrText xml:space="preserve"> PAGE  \* MERGEFORMAT </w:instrText>
                          </w:r>
                          <w:r>
                            <w:fldChar w:fldCharType="separate"/>
                          </w:r>
                          <w:r>
                            <w:t xml:space="preserve">38</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27"/>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171" cy="131433"/>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116170" cy="131433"/>
                      </a:xfrm>
                      <a:prstGeom prst="rect">
                        <a:avLst/>
                      </a:prstGeom>
                      <a:noFill/>
                      <a:ln>
                        <a:noFill/>
                      </a:ln>
                    </wps:spPr>
                    <wps:txbx>
                      <w:txbxContent>
                        <w:p>
                          <w:pPr>
                            <w:pStyle w:val="1227"/>
                          </w:pPr>
                          <w:r>
                            <w:fldChar w:fldCharType="begin"/>
                          </w:r>
                          <w:r>
                            <w:instrText xml:space="preserve"> PAGE  \* MERGEFORMAT </w:instrText>
                          </w:r>
                          <w:r>
                            <w:fldChar w:fldCharType="separate"/>
                          </w:r>
                          <w:r>
                            <w:t xml:space="preserve">43</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1pt;height:10.3pt;mso-wrap-distance-left:9.0pt;mso-wrap-distance-top:0.0pt;mso-wrap-distance-right:9.0pt;mso-wrap-distance-bottom:0.0pt;visibility:visible;" filled="f" stroked="f">
              <v:textbox inset="0,0,0,0">
                <w:txbxContent>
                  <w:p>
                    <w:pPr>
                      <w:pStyle w:val="1227"/>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ind w:firstLine="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2293620</wp:posOffset>
              </wp:positionH>
              <wp:positionV relativeFrom="paragraph">
                <wp:posOffset>24765</wp:posOffset>
              </wp:positionV>
              <wp:extent cx="163151" cy="131433"/>
              <wp:effectExtent l="6350" t="6350" r="6350" b="6350"/>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163151" cy="131433"/>
                      </a:xfrm>
                      <a:prstGeom prst="rect">
                        <a:avLst/>
                      </a:prstGeom>
                      <a:noFill/>
                      <a:ln>
                        <a:noFill/>
                      </a:ln>
                    </wps:spPr>
                    <wps:txbx>
                      <w:txbxContent>
                        <w:p>
                          <w:pPr>
                            <w:pStyle w:val="1227"/>
                          </w:pPr>
                          <w:r>
                            <w:fldChar w:fldCharType="begin"/>
                          </w:r>
                          <w:r>
                            <w:instrText xml:space="preserve"> PAGE  \* MERGEFORMAT </w:instrText>
                          </w:r>
                          <w:r>
                            <w:fldChar w:fldCharType="separate"/>
                          </w:r>
                          <w:r>
                            <w:t xml:space="preserve">42</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3360;o:allowoverlap:true;o:allowincell:true;mso-position-horizontal-relative:margin;margin-left:180.6pt;mso-position-horizontal:absolute;mso-position-vertical-relative:text;margin-top:1.9pt;mso-position-vertical:absolute;width:12.8pt;height:10.3pt;mso-wrap-distance-left:9.0pt;mso-wrap-distance-top:0.0pt;mso-wrap-distance-right:9.0pt;mso-wrap-distance-bottom:0.0pt;visibility:visible;" filled="f" stroked="f">
              <v:textbox inset="0,0,0,0">
                <w:txbxContent>
                  <w:p>
                    <w:pPr>
                      <w:pStyle w:val="1227"/>
                    </w:pPr>
                    <w:r>
                      <w:fldChar w:fldCharType="begin"/>
                    </w:r>
                    <w:r>
                      <w:instrText xml:space="preserve"> PAGE  \* MERGEFORMAT </w:instrText>
                    </w:r>
                    <w:r>
                      <w:fldChar w:fldCharType="separate"/>
                    </w:r>
                    <w:r>
                      <w:t xml:space="preserve">42</w:t>
                    </w:r>
                    <w:r>
                      <w:fldChar w:fldCharType="end"/>
                    </w:r>
                    <w:r/>
                  </w:p>
                </w:txbxContent>
              </v:textbox>
            </v:shape>
          </w:pict>
        </mc:Fallback>
      </mc:AlternateContent>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6" name=""/>
              <wp:cNvGraphicFramePr/>
              <a:graphic xmlns:a="http://schemas.openxmlformats.org/drawingml/2006/main">
                <a:graphicData uri="http://schemas.microsoft.com/office/word/2010/wordprocessingShape">
                  <wps:wsp>
                    <wps:cNvPr id="0" name=""/>
                    <wps:cNvSpPr txBox="1"/>
                    <wps:spPr bwMode="auto">
                      <a:xfrm flipH="0" flipV="0">
                        <a:off x="0" y="0"/>
                        <a:ext cx="125031" cy="131433"/>
                      </a:xfrm>
                      <a:prstGeom prst="rect">
                        <a:avLst/>
                      </a:prstGeom>
                      <a:noFill/>
                      <a:ln>
                        <a:noFill/>
                      </a:ln>
                    </wps:spPr>
                    <wps:txbx>
                      <w:txbxContent>
                        <w:p>
                          <w:pPr>
                            <w:pStyle w:val="1227"/>
                          </w:pPr>
                          <w:r>
                            <w:fldChar w:fldCharType="begin"/>
                          </w:r>
                          <w:r>
                            <w:instrText xml:space="preserve"> PAGE  \* MERGEFORMAT </w:instrText>
                          </w:r>
                          <w:r>
                            <w:fldChar w:fldCharType="separate"/>
                          </w:r>
                          <w:r>
                            <w:t xml:space="preserve">46</w:t>
                          </w:r>
                          <w:r>
                            <w:fldChar w:fldCharType="end"/>
                          </w:r>
                          <w:r/>
                        </w:p>
                      </w:txbxContent>
                    </wps:txbx>
                    <wps:bodyPr wrap="square" lIns="0" tIns="0" rIns="0" bIns="0" upright="1">
                      <a:no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27"/>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6171" cy="131433"/>
              <wp:effectExtent l="6350" t="6350" r="6350" b="6350"/>
              <wp:wrapNone/>
              <wp:docPr id="7" name=""/>
              <wp:cNvGraphicFramePr/>
              <a:graphic xmlns:a="http://schemas.openxmlformats.org/drawingml/2006/main">
                <a:graphicData uri="http://schemas.microsoft.com/office/word/2010/wordprocessingShape">
                  <wps:wsp>
                    <wps:cNvPr id="0" name=""/>
                    <wps:cNvSpPr txBox="1"/>
                    <wps:spPr bwMode="auto">
                      <a:xfrm flipH="0" flipV="0">
                        <a:off x="0" y="0"/>
                        <a:ext cx="116170" cy="131433"/>
                      </a:xfrm>
                      <a:prstGeom prst="rect">
                        <a:avLst/>
                      </a:prstGeom>
                      <a:noFill/>
                      <a:ln>
                        <a:noFill/>
                      </a:ln>
                    </wps:spPr>
                    <wps:txbx>
                      <w:txbxContent>
                        <w:p>
                          <w:pPr>
                            <w:pStyle w:val="1227"/>
                          </w:pPr>
                          <w:r>
                            <w:fldChar w:fldCharType="begin"/>
                          </w:r>
                          <w:r>
                            <w:instrText xml:space="preserve"> PAGE  \* MERGEFORMAT </w:instrText>
                          </w:r>
                          <w:r>
                            <w:fldChar w:fldCharType="separate"/>
                          </w:r>
                          <w:r>
                            <w:t xml:space="preserve">45</w:t>
                          </w:r>
                          <w:r>
                            <w:fldChar w:fldCharType="end"/>
                          </w:r>
                          <w:r/>
                        </w:p>
                      </w:txbxContent>
                    </wps:txbx>
                    <wps:bodyPr wrap="square" lIns="0" tIns="0" rIns="0" bIns="0" upright="1">
                      <a:no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9.1pt;height:10.3pt;mso-wrap-distance-left:9.0pt;mso-wrap-distance-top:0.0pt;mso-wrap-distance-right:9.0pt;mso-wrap-distance-bottom:0.0pt;visibility:visible;" filled="f" stroked="f">
              <v:textbox inset="0,0,0,0">
                <w:txbxContent>
                  <w:p>
                    <w:pPr>
                      <w:pStyle w:val="1227"/>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33892" cy="131433"/>
              <wp:effectExtent l="6350" t="6350" r="6350" b="6350"/>
              <wp:wrapNone/>
              <wp:docPr id="8" name=""/>
              <wp:cNvGraphicFramePr/>
              <a:graphic xmlns:a="http://schemas.openxmlformats.org/drawingml/2006/main">
                <a:graphicData uri="http://schemas.microsoft.com/office/word/2010/wordprocessingShape">
                  <wps:wsp>
                    <wps:cNvPr id="0" name=""/>
                    <wps:cNvSpPr txBox="1"/>
                    <wps:spPr bwMode="auto">
                      <a:xfrm flipH="0" flipV="0">
                        <a:off x="0" y="0"/>
                        <a:ext cx="133891" cy="131433"/>
                      </a:xfrm>
                      <a:prstGeom prst="rect">
                        <a:avLst/>
                      </a:prstGeom>
                      <a:noFill/>
                      <a:ln>
                        <a:noFill/>
                      </a:ln>
                    </wps:spPr>
                    <wps:txbx>
                      <w:txbxContent>
                        <w:p>
                          <w:pPr>
                            <w:pStyle w:val="1227"/>
                          </w:pPr>
                          <w:r>
                            <w:fldChar w:fldCharType="begin"/>
                          </w:r>
                          <w:r>
                            <w:instrText xml:space="preserve"> PAGE  \* MERGEFORMAT </w:instrText>
                          </w:r>
                          <w:r>
                            <w:fldChar w:fldCharType="separate"/>
                          </w:r>
                          <w:r>
                            <w:t xml:space="preserve">48</w:t>
                          </w:r>
                          <w:r>
                            <w:fldChar w:fldCharType="end"/>
                          </w:r>
                          <w:r/>
                        </w:p>
                      </w:txbxContent>
                    </wps:txbx>
                    <wps:bodyPr wrap="square" lIns="0" tIns="0" rIns="0" bIns="0" upright="1">
                      <a:no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0.5pt;height:10.3pt;mso-wrap-distance-left:9.0pt;mso-wrap-distance-top:0.0pt;mso-wrap-distance-right:9.0pt;mso-wrap-distance-bottom:0.0pt;visibility:visible;" filled="f" stroked="f">
              <v:textbox inset="0,0,0,0">
                <w:txbxContent>
                  <w:p>
                    <w:pPr>
                      <w:pStyle w:val="122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9" name=""/>
              <wp:cNvGraphicFramePr/>
              <a:graphic xmlns:a="http://schemas.openxmlformats.org/drawingml/2006/main">
                <a:graphicData uri="http://schemas.microsoft.com/office/word/2010/wordprocessingShape">
                  <wps:wsp>
                    <wps:cNvPr id="0" name=""/>
                    <wps:cNvSpPr txBox="1"/>
                    <wps:spPr bwMode="auto">
                      <a:xfrm flipH="0" flipV="0">
                        <a:off x="0" y="0"/>
                        <a:ext cx="125031" cy="131433"/>
                      </a:xfrm>
                      <a:prstGeom prst="rect">
                        <a:avLst/>
                      </a:prstGeom>
                      <a:noFill/>
                      <a:ln>
                        <a:noFill/>
                      </a:ln>
                    </wps:spPr>
                    <wps:txbx>
                      <w:txbxContent>
                        <w:p>
                          <w:pPr>
                            <w:pStyle w:val="1227"/>
                          </w:pPr>
                          <w:r>
                            <w:fldChar w:fldCharType="begin"/>
                          </w:r>
                          <w:r>
                            <w:instrText xml:space="preserve"> PAGE  \* MERGEFORMAT </w:instrText>
                          </w:r>
                          <w:r>
                            <w:fldChar w:fldCharType="separate"/>
                          </w:r>
                          <w:r>
                            <w:t xml:space="preserve">50</w:t>
                          </w:r>
                          <w:r>
                            <w:fldChar w:fldCharType="end"/>
                          </w:r>
                          <w:r/>
                        </w:p>
                      </w:txbxContent>
                    </wps:txbx>
                    <wps:bodyPr wrap="square" lIns="0" tIns="0" rIns="0" bIns="0" upright="1">
                      <a:no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2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25032" cy="131433"/>
              <wp:effectExtent l="6350" t="6350" r="6350" b="6350"/>
              <wp:wrapNone/>
              <wp:docPr id="10" name=""/>
              <wp:cNvGraphicFramePr/>
              <a:graphic xmlns:a="http://schemas.openxmlformats.org/drawingml/2006/main">
                <a:graphicData uri="http://schemas.microsoft.com/office/word/2010/wordprocessingShape">
                  <wps:wsp>
                    <wps:cNvPr id="0" name=""/>
                    <wps:cNvSpPr txBox="1"/>
                    <wps:spPr bwMode="auto">
                      <a:xfrm flipH="0" flipV="0">
                        <a:off x="0" y="0"/>
                        <a:ext cx="125031" cy="131433"/>
                      </a:xfrm>
                      <a:prstGeom prst="rect">
                        <a:avLst/>
                      </a:prstGeom>
                      <a:noFill/>
                      <a:ln>
                        <a:noFill/>
                      </a:ln>
                    </wps:spPr>
                    <wps:txbx>
                      <w:txbxContent>
                        <w:p>
                          <w:pPr>
                            <w:pStyle w:val="1227"/>
                          </w:pPr>
                          <w:r>
                            <w:fldChar w:fldCharType="begin"/>
                          </w:r>
                          <w:r>
                            <w:instrText xml:space="preserve"> PAGE  \* MERGEFORMAT </w:instrText>
                          </w:r>
                          <w:r>
                            <w:fldChar w:fldCharType="separate"/>
                          </w:r>
                          <w:r>
                            <w:t xml:space="preserve">49</w:t>
                          </w:r>
                          <w:r>
                            <w:fldChar w:fldCharType="end"/>
                          </w:r>
                          <w:r/>
                        </w:p>
                      </w:txbxContent>
                    </wps:txbx>
                    <wps:bodyPr wrap="square" lIns="0" tIns="0" rIns="0" bIns="0" upright="1">
                      <a:no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isibility:visible;" filled="f" stroked="f">
              <v:textbox inset="0,0,0,0">
                <w:txbxContent>
                  <w:p>
                    <w:pPr>
                      <w:pStyle w:val="1227"/>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9"/>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46">
    <w:name w:val="Heading 1 Char"/>
    <w:basedOn w:val="1218"/>
    <w:link w:val="1215"/>
    <w:uiPriority w:val="9"/>
    <w:rPr>
      <w:rFonts w:ascii="Arial" w:hAnsi="Arial" w:eastAsia="Arial" w:cs="Arial"/>
      <w:sz w:val="40"/>
      <w:szCs w:val="40"/>
    </w:rPr>
  </w:style>
  <w:style w:type="character" w:styleId="1047">
    <w:name w:val="Heading 2 Char"/>
    <w:basedOn w:val="1218"/>
    <w:link w:val="1216"/>
    <w:uiPriority w:val="9"/>
    <w:rPr>
      <w:rFonts w:ascii="Arial" w:hAnsi="Arial" w:eastAsia="Arial" w:cs="Arial"/>
      <w:sz w:val="34"/>
    </w:rPr>
  </w:style>
  <w:style w:type="character" w:styleId="1048">
    <w:name w:val="Heading 3 Char"/>
    <w:basedOn w:val="1218"/>
    <w:link w:val="1217"/>
    <w:uiPriority w:val="9"/>
    <w:rPr>
      <w:rFonts w:ascii="Arial" w:hAnsi="Arial" w:eastAsia="Arial" w:cs="Arial"/>
      <w:sz w:val="30"/>
      <w:szCs w:val="30"/>
    </w:rPr>
  </w:style>
  <w:style w:type="paragraph" w:styleId="1049">
    <w:name w:val="Heading 4"/>
    <w:basedOn w:val="1214"/>
    <w:next w:val="1214"/>
    <w:link w:val="1050"/>
    <w:uiPriority w:val="9"/>
    <w:unhideWhenUsed/>
    <w:qFormat/>
    <w:pPr>
      <w:keepLines/>
      <w:keepNext/>
      <w:spacing w:before="320" w:after="200"/>
      <w:outlineLvl w:val="3"/>
    </w:pPr>
    <w:rPr>
      <w:rFonts w:ascii="Arial" w:hAnsi="Arial" w:eastAsia="Arial" w:cs="Arial"/>
      <w:b/>
      <w:bCs/>
      <w:sz w:val="26"/>
      <w:szCs w:val="26"/>
    </w:rPr>
  </w:style>
  <w:style w:type="character" w:styleId="1050">
    <w:name w:val="Heading 4 Char"/>
    <w:basedOn w:val="1218"/>
    <w:link w:val="1049"/>
    <w:uiPriority w:val="9"/>
    <w:rPr>
      <w:rFonts w:ascii="Arial" w:hAnsi="Arial" w:eastAsia="Arial" w:cs="Arial"/>
      <w:b/>
      <w:bCs/>
      <w:sz w:val="26"/>
      <w:szCs w:val="26"/>
    </w:rPr>
  </w:style>
  <w:style w:type="paragraph" w:styleId="1051">
    <w:name w:val="Heading 5"/>
    <w:basedOn w:val="1214"/>
    <w:next w:val="1214"/>
    <w:link w:val="1052"/>
    <w:uiPriority w:val="9"/>
    <w:unhideWhenUsed/>
    <w:qFormat/>
    <w:pPr>
      <w:keepLines/>
      <w:keepNext/>
      <w:spacing w:before="320" w:after="200"/>
      <w:outlineLvl w:val="4"/>
    </w:pPr>
    <w:rPr>
      <w:rFonts w:ascii="Arial" w:hAnsi="Arial" w:eastAsia="Arial" w:cs="Arial"/>
      <w:b/>
      <w:bCs/>
      <w:sz w:val="24"/>
      <w:szCs w:val="24"/>
    </w:rPr>
  </w:style>
  <w:style w:type="character" w:styleId="1052">
    <w:name w:val="Heading 5 Char"/>
    <w:basedOn w:val="1218"/>
    <w:link w:val="1051"/>
    <w:uiPriority w:val="9"/>
    <w:rPr>
      <w:rFonts w:ascii="Arial" w:hAnsi="Arial" w:eastAsia="Arial" w:cs="Arial"/>
      <w:b/>
      <w:bCs/>
      <w:sz w:val="24"/>
      <w:szCs w:val="24"/>
    </w:rPr>
  </w:style>
  <w:style w:type="paragraph" w:styleId="1053">
    <w:name w:val="Heading 6"/>
    <w:basedOn w:val="1214"/>
    <w:next w:val="1214"/>
    <w:link w:val="1054"/>
    <w:uiPriority w:val="9"/>
    <w:unhideWhenUsed/>
    <w:qFormat/>
    <w:pPr>
      <w:keepLines/>
      <w:keepNext/>
      <w:spacing w:before="320" w:after="200"/>
      <w:outlineLvl w:val="5"/>
    </w:pPr>
    <w:rPr>
      <w:rFonts w:ascii="Arial" w:hAnsi="Arial" w:eastAsia="Arial" w:cs="Arial"/>
      <w:b/>
      <w:bCs/>
      <w:sz w:val="22"/>
      <w:szCs w:val="22"/>
    </w:rPr>
  </w:style>
  <w:style w:type="character" w:styleId="1054">
    <w:name w:val="Heading 6 Char"/>
    <w:basedOn w:val="1218"/>
    <w:link w:val="1053"/>
    <w:uiPriority w:val="9"/>
    <w:rPr>
      <w:rFonts w:ascii="Arial" w:hAnsi="Arial" w:eastAsia="Arial" w:cs="Arial"/>
      <w:b/>
      <w:bCs/>
      <w:sz w:val="22"/>
      <w:szCs w:val="22"/>
    </w:rPr>
  </w:style>
  <w:style w:type="paragraph" w:styleId="1055">
    <w:name w:val="Heading 7"/>
    <w:basedOn w:val="1214"/>
    <w:next w:val="1214"/>
    <w:link w:val="1056"/>
    <w:uiPriority w:val="9"/>
    <w:unhideWhenUsed/>
    <w:qFormat/>
    <w:pPr>
      <w:keepLines/>
      <w:keepNext/>
      <w:spacing w:before="320" w:after="200"/>
      <w:outlineLvl w:val="6"/>
    </w:pPr>
    <w:rPr>
      <w:rFonts w:ascii="Arial" w:hAnsi="Arial" w:eastAsia="Arial" w:cs="Arial"/>
      <w:b/>
      <w:bCs/>
      <w:i/>
      <w:iCs/>
      <w:sz w:val="22"/>
      <w:szCs w:val="22"/>
    </w:rPr>
  </w:style>
  <w:style w:type="character" w:styleId="1056">
    <w:name w:val="Heading 7 Char"/>
    <w:basedOn w:val="1218"/>
    <w:link w:val="1055"/>
    <w:uiPriority w:val="9"/>
    <w:rPr>
      <w:rFonts w:ascii="Arial" w:hAnsi="Arial" w:eastAsia="Arial" w:cs="Arial"/>
      <w:b/>
      <w:bCs/>
      <w:i/>
      <w:iCs/>
      <w:sz w:val="22"/>
      <w:szCs w:val="22"/>
    </w:rPr>
  </w:style>
  <w:style w:type="paragraph" w:styleId="1057">
    <w:name w:val="Heading 8"/>
    <w:basedOn w:val="1214"/>
    <w:next w:val="1214"/>
    <w:link w:val="1058"/>
    <w:uiPriority w:val="9"/>
    <w:unhideWhenUsed/>
    <w:qFormat/>
    <w:pPr>
      <w:keepLines/>
      <w:keepNext/>
      <w:spacing w:before="320" w:after="200"/>
      <w:outlineLvl w:val="7"/>
    </w:pPr>
    <w:rPr>
      <w:rFonts w:ascii="Arial" w:hAnsi="Arial" w:eastAsia="Arial" w:cs="Arial"/>
      <w:i/>
      <w:iCs/>
      <w:sz w:val="22"/>
      <w:szCs w:val="22"/>
    </w:rPr>
  </w:style>
  <w:style w:type="character" w:styleId="1058">
    <w:name w:val="Heading 8 Char"/>
    <w:basedOn w:val="1218"/>
    <w:link w:val="1057"/>
    <w:uiPriority w:val="9"/>
    <w:rPr>
      <w:rFonts w:ascii="Arial" w:hAnsi="Arial" w:eastAsia="Arial" w:cs="Arial"/>
      <w:i/>
      <w:iCs/>
      <w:sz w:val="22"/>
      <w:szCs w:val="22"/>
    </w:rPr>
  </w:style>
  <w:style w:type="paragraph" w:styleId="1059">
    <w:name w:val="Heading 9"/>
    <w:basedOn w:val="1214"/>
    <w:next w:val="1214"/>
    <w:link w:val="1060"/>
    <w:uiPriority w:val="9"/>
    <w:unhideWhenUsed/>
    <w:qFormat/>
    <w:pPr>
      <w:keepLines/>
      <w:keepNext/>
      <w:spacing w:before="320" w:after="200"/>
      <w:outlineLvl w:val="8"/>
    </w:pPr>
    <w:rPr>
      <w:rFonts w:ascii="Arial" w:hAnsi="Arial" w:eastAsia="Arial" w:cs="Arial"/>
      <w:i/>
      <w:iCs/>
      <w:sz w:val="21"/>
      <w:szCs w:val="21"/>
    </w:rPr>
  </w:style>
  <w:style w:type="character" w:styleId="1060">
    <w:name w:val="Heading 9 Char"/>
    <w:basedOn w:val="1218"/>
    <w:link w:val="1059"/>
    <w:uiPriority w:val="9"/>
    <w:rPr>
      <w:rFonts w:ascii="Arial" w:hAnsi="Arial" w:eastAsia="Arial" w:cs="Arial"/>
      <w:i/>
      <w:iCs/>
      <w:sz w:val="21"/>
      <w:szCs w:val="21"/>
    </w:rPr>
  </w:style>
  <w:style w:type="paragraph" w:styleId="1061">
    <w:name w:val="No Spacing"/>
    <w:uiPriority w:val="1"/>
    <w:qFormat/>
    <w:pPr>
      <w:spacing w:before="0" w:after="0" w:line="240" w:lineRule="auto"/>
    </w:pPr>
  </w:style>
  <w:style w:type="character" w:styleId="1062">
    <w:name w:val="Title Char"/>
    <w:basedOn w:val="1218"/>
    <w:link w:val="1233"/>
    <w:uiPriority w:val="10"/>
    <w:rPr>
      <w:sz w:val="48"/>
      <w:szCs w:val="48"/>
    </w:rPr>
  </w:style>
  <w:style w:type="paragraph" w:styleId="1063">
    <w:name w:val="Subtitle"/>
    <w:basedOn w:val="1214"/>
    <w:next w:val="1214"/>
    <w:link w:val="1064"/>
    <w:uiPriority w:val="11"/>
    <w:qFormat/>
    <w:pPr>
      <w:spacing w:before="200" w:after="200"/>
    </w:pPr>
    <w:rPr>
      <w:sz w:val="24"/>
      <w:szCs w:val="24"/>
    </w:rPr>
  </w:style>
  <w:style w:type="character" w:styleId="1064">
    <w:name w:val="Subtitle Char"/>
    <w:basedOn w:val="1218"/>
    <w:link w:val="1063"/>
    <w:uiPriority w:val="11"/>
    <w:rPr>
      <w:sz w:val="24"/>
      <w:szCs w:val="24"/>
    </w:rPr>
  </w:style>
  <w:style w:type="paragraph" w:styleId="1065">
    <w:name w:val="Quote"/>
    <w:basedOn w:val="1214"/>
    <w:next w:val="1214"/>
    <w:link w:val="1066"/>
    <w:uiPriority w:val="29"/>
    <w:qFormat/>
    <w:pPr>
      <w:ind w:left="720" w:right="720"/>
    </w:pPr>
    <w:rPr>
      <w:i/>
    </w:rPr>
  </w:style>
  <w:style w:type="character" w:styleId="1066">
    <w:name w:val="Quote Char"/>
    <w:link w:val="1065"/>
    <w:uiPriority w:val="29"/>
    <w:rPr>
      <w:i/>
    </w:rPr>
  </w:style>
  <w:style w:type="paragraph" w:styleId="1067">
    <w:name w:val="Intense Quote"/>
    <w:basedOn w:val="1214"/>
    <w:next w:val="1214"/>
    <w:link w:val="10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8">
    <w:name w:val="Intense Quote Char"/>
    <w:link w:val="1067"/>
    <w:uiPriority w:val="30"/>
    <w:rPr>
      <w:i/>
    </w:rPr>
  </w:style>
  <w:style w:type="character" w:styleId="1069">
    <w:name w:val="Header Char"/>
    <w:basedOn w:val="1218"/>
    <w:link w:val="1229"/>
    <w:uiPriority w:val="99"/>
  </w:style>
  <w:style w:type="character" w:styleId="1070">
    <w:name w:val="Footer Char"/>
    <w:basedOn w:val="1218"/>
    <w:link w:val="1227"/>
    <w:uiPriority w:val="99"/>
  </w:style>
  <w:style w:type="paragraph" w:styleId="1071">
    <w:name w:val="Caption"/>
    <w:basedOn w:val="1214"/>
    <w:next w:val="1214"/>
    <w:uiPriority w:val="35"/>
    <w:semiHidden/>
    <w:unhideWhenUsed/>
    <w:qFormat/>
    <w:pPr>
      <w:spacing w:line="276" w:lineRule="auto"/>
    </w:pPr>
    <w:rPr>
      <w:b/>
      <w:bCs/>
      <w:color w:val="4f81bd" w:themeColor="accent1"/>
      <w:sz w:val="18"/>
      <w:szCs w:val="18"/>
    </w:rPr>
  </w:style>
  <w:style w:type="character" w:styleId="1072">
    <w:name w:val="Caption Char"/>
    <w:basedOn w:val="1071"/>
    <w:link w:val="1227"/>
    <w:uiPriority w:val="99"/>
  </w:style>
  <w:style w:type="table" w:styleId="1073">
    <w:name w:val="Table Grid Light"/>
    <w:basedOn w:val="12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4">
    <w:name w:val="Plain Table 1"/>
    <w:basedOn w:val="12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5">
    <w:name w:val="Plain Table 2"/>
    <w:basedOn w:val="12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6">
    <w:name w:val="Plain Table 3"/>
    <w:basedOn w:val="12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7">
    <w:name w:val="Plain Table 4"/>
    <w:basedOn w:val="12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8">
    <w:name w:val="Plain Table 5"/>
    <w:basedOn w:val="12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9">
    <w:name w:val="Grid Table 1 Light"/>
    <w:basedOn w:val="12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0">
    <w:name w:val="Grid Table 1 Light - Accent 1"/>
    <w:basedOn w:val="12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81">
    <w:name w:val="Grid Table 1 Light - Accent 2"/>
    <w:basedOn w:val="12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82">
    <w:name w:val="Grid Table 1 Light - Accent 3"/>
    <w:basedOn w:val="12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83">
    <w:name w:val="Grid Table 1 Light - Accent 4"/>
    <w:basedOn w:val="12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4">
    <w:name w:val="Grid Table 1 Light - Accent 5"/>
    <w:basedOn w:val="12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5">
    <w:name w:val="Grid Table 1 Light - Accent 6"/>
    <w:basedOn w:val="12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6">
    <w:name w:val="Grid Table 2"/>
    <w:basedOn w:val="12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7">
    <w:name w:val="Grid Table 2 - Accent 1"/>
    <w:basedOn w:val="12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8">
    <w:name w:val="Grid Table 2 - Accent 2"/>
    <w:basedOn w:val="12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9">
    <w:name w:val="Grid Table 2 - Accent 3"/>
    <w:basedOn w:val="12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90">
    <w:name w:val="Grid Table 2 - Accent 4"/>
    <w:basedOn w:val="12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91">
    <w:name w:val="Grid Table 2 - Accent 5"/>
    <w:basedOn w:val="12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92">
    <w:name w:val="Grid Table 2 - Accent 6"/>
    <w:basedOn w:val="12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93">
    <w:name w:val="Grid Table 3"/>
    <w:basedOn w:val="12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4">
    <w:name w:val="Grid Table 3 - Accent 1"/>
    <w:basedOn w:val="12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3 - Accent 2"/>
    <w:basedOn w:val="12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6">
    <w:name w:val="Grid Table 3 - Accent 3"/>
    <w:basedOn w:val="12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7">
    <w:name w:val="Grid Table 3 - Accent 4"/>
    <w:basedOn w:val="12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8">
    <w:name w:val="Grid Table 3 - Accent 5"/>
    <w:basedOn w:val="12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9">
    <w:name w:val="Grid Table 3 - Accent 6"/>
    <w:basedOn w:val="12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0">
    <w:name w:val="Grid Table 4"/>
    <w:basedOn w:val="12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1">
    <w:name w:val="Grid Table 4 - Accent 1"/>
    <w:basedOn w:val="12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02">
    <w:name w:val="Grid Table 4 - Accent 2"/>
    <w:basedOn w:val="12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03">
    <w:name w:val="Grid Table 4 - Accent 3"/>
    <w:basedOn w:val="12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4">
    <w:name w:val="Grid Table 4 - Accent 4"/>
    <w:basedOn w:val="12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5">
    <w:name w:val="Grid Table 4 - Accent 5"/>
    <w:basedOn w:val="12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6">
    <w:name w:val="Grid Table 4 - Accent 6"/>
    <w:basedOn w:val="12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7">
    <w:name w:val="Grid Table 5 Dark"/>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8">
    <w:name w:val="Grid Table 5 Dark- Accent 1"/>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109">
    <w:name w:val="Grid Table 5 Dark - Accent 2"/>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110">
    <w:name w:val="Grid Table 5 Dark - Accent 3"/>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111">
    <w:name w:val="Grid Table 5 Dark- Accent 4"/>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112">
    <w:name w:val="Grid Table 5 Dark - Accent 5"/>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113">
    <w:name w:val="Grid Table 5 Dark - Accent 6"/>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114">
    <w:name w:val="Grid Table 6 Colorful"/>
    <w:basedOn w:val="12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5">
    <w:name w:val="Grid Table 6 Colorful - Accent 1"/>
    <w:basedOn w:val="12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116">
    <w:name w:val="Grid Table 6 Colorful - Accent 2"/>
    <w:basedOn w:val="12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117">
    <w:name w:val="Grid Table 6 Colorful - Accent 3"/>
    <w:basedOn w:val="12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118">
    <w:name w:val="Grid Table 6 Colorful - Accent 4"/>
    <w:basedOn w:val="12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119">
    <w:name w:val="Grid Table 6 Colorful - Accent 5"/>
    <w:basedOn w:val="12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20">
    <w:name w:val="Grid Table 6 Colorful - Accent 6"/>
    <w:basedOn w:val="12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21">
    <w:name w:val="Grid Table 7 Colorful"/>
    <w:basedOn w:val="12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2">
    <w:name w:val="Grid Table 7 Colorful - Accent 1"/>
    <w:basedOn w:val="12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23">
    <w:name w:val="Grid Table 7 Colorful - Accent 2"/>
    <w:basedOn w:val="12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4">
    <w:name w:val="Grid Table 7 Colorful - Accent 3"/>
    <w:basedOn w:val="12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5">
    <w:name w:val="Grid Table 7 Colorful - Accent 4"/>
    <w:basedOn w:val="12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6">
    <w:name w:val="Grid Table 7 Colorful - Accent 5"/>
    <w:basedOn w:val="12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7">
    <w:name w:val="Grid Table 7 Colorful - Accent 6"/>
    <w:basedOn w:val="12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8">
    <w:name w:val="List Table 1 Light"/>
    <w:basedOn w:val="12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9">
    <w:name w:val="List Table 1 Light - Accent 1"/>
    <w:basedOn w:val="121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30">
    <w:name w:val="List Table 1 Light - Accent 2"/>
    <w:basedOn w:val="12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31">
    <w:name w:val="List Table 1 Light - Accent 3"/>
    <w:basedOn w:val="12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32">
    <w:name w:val="List Table 1 Light - Accent 4"/>
    <w:basedOn w:val="12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33">
    <w:name w:val="List Table 1 Light - Accent 5"/>
    <w:basedOn w:val="121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4">
    <w:name w:val="List Table 1 Light - Accent 6"/>
    <w:basedOn w:val="12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5">
    <w:name w:val="List Table 2"/>
    <w:basedOn w:val="12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6">
    <w:name w:val="List Table 2 - Accent 1"/>
    <w:basedOn w:val="12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7">
    <w:name w:val="List Table 2 - Accent 2"/>
    <w:basedOn w:val="12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8">
    <w:name w:val="List Table 2 - Accent 3"/>
    <w:basedOn w:val="12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9">
    <w:name w:val="List Table 2 - Accent 4"/>
    <w:basedOn w:val="12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0">
    <w:name w:val="List Table 2 - Accent 5"/>
    <w:basedOn w:val="12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41">
    <w:name w:val="List Table 2 - Accent 6"/>
    <w:basedOn w:val="12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42">
    <w:name w:val="List Table 3"/>
    <w:basedOn w:val="12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3">
    <w:name w:val="List Table 3 - Accent 1"/>
    <w:basedOn w:val="12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44">
    <w:name w:val="List Table 3 - Accent 2"/>
    <w:basedOn w:val="12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145">
    <w:name w:val="List Table 3 - Accent 3"/>
    <w:basedOn w:val="12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146">
    <w:name w:val="List Table 3 - Accent 4"/>
    <w:basedOn w:val="12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147">
    <w:name w:val="List Table 3 - Accent 5"/>
    <w:basedOn w:val="12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148">
    <w:name w:val="List Table 3 - Accent 6"/>
    <w:basedOn w:val="12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149">
    <w:name w:val="List Table 4"/>
    <w:basedOn w:val="12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0">
    <w:name w:val="List Table 4 - Accent 1"/>
    <w:basedOn w:val="12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51">
    <w:name w:val="List Table 4 - Accent 2"/>
    <w:basedOn w:val="12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152">
    <w:name w:val="List Table 4 - Accent 3"/>
    <w:basedOn w:val="12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153">
    <w:name w:val="List Table 4 - Accent 4"/>
    <w:basedOn w:val="12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154">
    <w:name w:val="List Table 4 - Accent 5"/>
    <w:basedOn w:val="12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155">
    <w:name w:val="List Table 4 - Accent 6"/>
    <w:basedOn w:val="12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156">
    <w:name w:val="List Table 5 Dark"/>
    <w:basedOn w:val="12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7">
    <w:name w:val="List Table 5 Dark - Accent 1"/>
    <w:basedOn w:val="12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5 Dark - Accent 2"/>
    <w:basedOn w:val="12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9">
    <w:name w:val="List Table 5 Dark - Accent 3"/>
    <w:basedOn w:val="12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0">
    <w:name w:val="List Table 5 Dark - Accent 4"/>
    <w:basedOn w:val="12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1">
    <w:name w:val="List Table 5 Dark - Accent 5"/>
    <w:basedOn w:val="12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2">
    <w:name w:val="List Table 5 Dark - Accent 6"/>
    <w:basedOn w:val="12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3">
    <w:name w:val="List Table 6 Colorful"/>
    <w:basedOn w:val="12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4">
    <w:name w:val="List Table 6 Colorful - Accent 1"/>
    <w:basedOn w:val="12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165">
    <w:name w:val="List Table 6 Colorful - Accent 2"/>
    <w:basedOn w:val="12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166">
    <w:name w:val="List Table 6 Colorful - Accent 3"/>
    <w:basedOn w:val="12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167">
    <w:name w:val="List Table 6 Colorful - Accent 4"/>
    <w:basedOn w:val="12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168">
    <w:name w:val="List Table 6 Colorful - Accent 5"/>
    <w:basedOn w:val="12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169">
    <w:name w:val="List Table 6 Colorful - Accent 6"/>
    <w:basedOn w:val="12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170">
    <w:name w:val="List Table 7 Colorful"/>
    <w:basedOn w:val="12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71">
    <w:name w:val="List Table 7 Colorful - Accent 1"/>
    <w:basedOn w:val="12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172">
    <w:name w:val="List Table 7 Colorful - Accent 2"/>
    <w:basedOn w:val="12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173">
    <w:name w:val="List Table 7 Colorful - Accent 3"/>
    <w:basedOn w:val="12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174">
    <w:name w:val="List Table 7 Colorful - Accent 4"/>
    <w:basedOn w:val="12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175">
    <w:name w:val="List Table 7 Colorful - Accent 5"/>
    <w:basedOn w:val="12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176">
    <w:name w:val="List Table 7 Colorful - Accent 6"/>
    <w:basedOn w:val="12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177">
    <w:name w:val="Lined - Accent"/>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8">
    <w:name w:val="Lined - Accent 1"/>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79">
    <w:name w:val="Lined - Accent 2"/>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80">
    <w:name w:val="Lined - Accent 3"/>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81">
    <w:name w:val="Lined - Accent 4"/>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82">
    <w:name w:val="Lined - Accent 5"/>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83">
    <w:name w:val="Lined - Accent 6"/>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84">
    <w:name w:val="Bordered &amp; Lined - Accent"/>
    <w:basedOn w:val="12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5">
    <w:name w:val="Bordered &amp; Lined - Accent 1"/>
    <w:basedOn w:val="12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86">
    <w:name w:val="Bordered &amp; Lined - Accent 2"/>
    <w:basedOn w:val="12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87">
    <w:name w:val="Bordered &amp; Lined - Accent 3"/>
    <w:basedOn w:val="12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88">
    <w:name w:val="Bordered &amp; Lined - Accent 4"/>
    <w:basedOn w:val="12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89">
    <w:name w:val="Bordered &amp; Lined - Accent 5"/>
    <w:basedOn w:val="12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90">
    <w:name w:val="Bordered &amp; Lined - Accent 6"/>
    <w:basedOn w:val="12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91">
    <w:name w:val="Bordered"/>
    <w:basedOn w:val="12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92">
    <w:name w:val="Bordered - Accent 1"/>
    <w:basedOn w:val="12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93">
    <w:name w:val="Bordered - Accent 2"/>
    <w:basedOn w:val="12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4">
    <w:name w:val="Bordered - Accent 3"/>
    <w:basedOn w:val="12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5">
    <w:name w:val="Bordered - Accent 4"/>
    <w:basedOn w:val="12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6">
    <w:name w:val="Bordered - Accent 5"/>
    <w:basedOn w:val="12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7">
    <w:name w:val="Bordered - Accent 6"/>
    <w:basedOn w:val="12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8">
    <w:name w:val="Hyperlink"/>
    <w:uiPriority w:val="99"/>
    <w:unhideWhenUsed/>
    <w:rPr>
      <w:color w:val="0000ff" w:themeColor="hyperlink"/>
      <w:u w:val="single"/>
    </w:rPr>
  </w:style>
  <w:style w:type="paragraph" w:styleId="1199">
    <w:name w:val="footnote text"/>
    <w:basedOn w:val="1214"/>
    <w:link w:val="1200"/>
    <w:uiPriority w:val="99"/>
    <w:semiHidden/>
    <w:unhideWhenUsed/>
    <w:pPr>
      <w:spacing w:after="40" w:line="240" w:lineRule="auto"/>
    </w:pPr>
    <w:rPr>
      <w:sz w:val="18"/>
    </w:rPr>
  </w:style>
  <w:style w:type="character" w:styleId="1200">
    <w:name w:val="Footnote Text Char"/>
    <w:link w:val="1199"/>
    <w:uiPriority w:val="99"/>
    <w:rPr>
      <w:sz w:val="18"/>
    </w:rPr>
  </w:style>
  <w:style w:type="character" w:styleId="1201">
    <w:name w:val="footnote reference"/>
    <w:basedOn w:val="1218"/>
    <w:uiPriority w:val="99"/>
    <w:unhideWhenUsed/>
    <w:rPr>
      <w:vertAlign w:val="superscript"/>
    </w:rPr>
  </w:style>
  <w:style w:type="paragraph" w:styleId="1202">
    <w:name w:val="endnote text"/>
    <w:basedOn w:val="1214"/>
    <w:link w:val="1203"/>
    <w:uiPriority w:val="99"/>
    <w:semiHidden/>
    <w:unhideWhenUsed/>
    <w:pPr>
      <w:spacing w:after="0" w:line="240" w:lineRule="auto"/>
    </w:pPr>
    <w:rPr>
      <w:sz w:val="20"/>
    </w:rPr>
  </w:style>
  <w:style w:type="character" w:styleId="1203">
    <w:name w:val="Endnote Text Char"/>
    <w:link w:val="1202"/>
    <w:uiPriority w:val="99"/>
    <w:rPr>
      <w:sz w:val="20"/>
    </w:rPr>
  </w:style>
  <w:style w:type="character" w:styleId="1204">
    <w:name w:val="endnote reference"/>
    <w:basedOn w:val="1218"/>
    <w:uiPriority w:val="99"/>
    <w:semiHidden/>
    <w:unhideWhenUsed/>
    <w:rPr>
      <w:vertAlign w:val="superscript"/>
    </w:rPr>
  </w:style>
  <w:style w:type="paragraph" w:styleId="1205">
    <w:name w:val="toc 3"/>
    <w:basedOn w:val="1214"/>
    <w:next w:val="1214"/>
    <w:uiPriority w:val="39"/>
    <w:unhideWhenUsed/>
    <w:pPr>
      <w:ind w:left="567" w:right="0" w:firstLine="0"/>
      <w:spacing w:after="57"/>
    </w:pPr>
  </w:style>
  <w:style w:type="paragraph" w:styleId="1206">
    <w:name w:val="toc 4"/>
    <w:basedOn w:val="1214"/>
    <w:next w:val="1214"/>
    <w:uiPriority w:val="39"/>
    <w:unhideWhenUsed/>
    <w:pPr>
      <w:ind w:left="850" w:right="0" w:firstLine="0"/>
      <w:spacing w:after="57"/>
    </w:pPr>
  </w:style>
  <w:style w:type="paragraph" w:styleId="1207">
    <w:name w:val="toc 5"/>
    <w:basedOn w:val="1214"/>
    <w:next w:val="1214"/>
    <w:uiPriority w:val="39"/>
    <w:unhideWhenUsed/>
    <w:pPr>
      <w:ind w:left="1134" w:right="0" w:firstLine="0"/>
      <w:spacing w:after="57"/>
    </w:pPr>
  </w:style>
  <w:style w:type="paragraph" w:styleId="1208">
    <w:name w:val="toc 6"/>
    <w:basedOn w:val="1214"/>
    <w:next w:val="1214"/>
    <w:uiPriority w:val="39"/>
    <w:unhideWhenUsed/>
    <w:pPr>
      <w:ind w:left="1417" w:right="0" w:firstLine="0"/>
      <w:spacing w:after="57"/>
    </w:pPr>
  </w:style>
  <w:style w:type="paragraph" w:styleId="1209">
    <w:name w:val="toc 7"/>
    <w:basedOn w:val="1214"/>
    <w:next w:val="1214"/>
    <w:uiPriority w:val="39"/>
    <w:unhideWhenUsed/>
    <w:pPr>
      <w:ind w:left="1701" w:right="0" w:firstLine="0"/>
      <w:spacing w:after="57"/>
    </w:pPr>
  </w:style>
  <w:style w:type="paragraph" w:styleId="1210">
    <w:name w:val="toc 8"/>
    <w:basedOn w:val="1214"/>
    <w:next w:val="1214"/>
    <w:uiPriority w:val="39"/>
    <w:unhideWhenUsed/>
    <w:pPr>
      <w:ind w:left="1984" w:right="0" w:firstLine="0"/>
      <w:spacing w:after="57"/>
    </w:pPr>
  </w:style>
  <w:style w:type="paragraph" w:styleId="1211">
    <w:name w:val="toc 9"/>
    <w:basedOn w:val="1214"/>
    <w:next w:val="1214"/>
    <w:uiPriority w:val="39"/>
    <w:unhideWhenUsed/>
    <w:pPr>
      <w:ind w:left="2268" w:right="0" w:firstLine="0"/>
      <w:spacing w:after="57"/>
    </w:pPr>
  </w:style>
  <w:style w:type="paragraph" w:styleId="1212">
    <w:name w:val="TOC Heading"/>
    <w:uiPriority w:val="39"/>
    <w:unhideWhenUsed/>
  </w:style>
  <w:style w:type="paragraph" w:styleId="1213">
    <w:name w:val="table of figures"/>
    <w:basedOn w:val="1214"/>
    <w:next w:val="1214"/>
    <w:uiPriority w:val="99"/>
    <w:unhideWhenUsed/>
    <w:pPr>
      <w:spacing w:after="0" w:afterAutospacing="0"/>
    </w:pPr>
  </w:style>
  <w:style w:type="paragraph" w:styleId="121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215">
    <w:name w:val="Heading 1"/>
    <w:basedOn w:val="1214"/>
    <w:next w:val="1214"/>
    <w:link w:val="1242"/>
    <w:uiPriority w:val="0"/>
    <w:qFormat/>
    <w:pPr>
      <w:jc w:val="center"/>
      <w:keepNext/>
      <w:outlineLvl w:val="0"/>
    </w:pPr>
    <w:rPr>
      <w:rFonts w:ascii="楷体_GB2312" w:hAnsi="楷体_GB2312"/>
      <w:b/>
      <w:szCs w:val="20"/>
    </w:rPr>
  </w:style>
  <w:style w:type="paragraph" w:styleId="1216">
    <w:name w:val="Heading 2"/>
    <w:basedOn w:val="1214"/>
    <w:next w:val="1220"/>
    <w:uiPriority w:val="0"/>
    <w:qFormat/>
    <w:pPr>
      <w:jc w:val="center"/>
      <w:keepLines/>
      <w:keepNext/>
      <w:spacing w:before="260" w:after="260" w:line="416" w:lineRule="auto"/>
      <w:outlineLvl w:val="1"/>
    </w:pPr>
    <w:rPr>
      <w:rFonts w:ascii="Arial" w:hAnsi="Arial" w:eastAsia="幼圆"/>
      <w:b/>
      <w:sz w:val="44"/>
      <w:szCs w:val="20"/>
    </w:rPr>
  </w:style>
  <w:style w:type="paragraph" w:styleId="1217">
    <w:name w:val="Heading 3"/>
    <w:basedOn w:val="1214"/>
    <w:next w:val="1214"/>
    <w:uiPriority w:val="0"/>
    <w:qFormat/>
    <w:pPr>
      <w:keepLines/>
      <w:keepNext/>
      <w:spacing w:before="260" w:after="260" w:line="415" w:lineRule="auto"/>
      <w:outlineLvl w:val="2"/>
    </w:pPr>
    <w:rPr>
      <w:sz w:val="32"/>
      <w:szCs w:val="32"/>
    </w:rPr>
  </w:style>
  <w:style w:type="character" w:styleId="1218" w:default="1">
    <w:name w:val="Default Paragraph Font"/>
    <w:uiPriority w:val="1"/>
    <w:semiHidden/>
    <w:unhideWhenUsed/>
    <w:qFormat/>
  </w:style>
  <w:style w:type="table" w:styleId="1219" w:default="1">
    <w:name w:val="Normal Table"/>
    <w:uiPriority w:val="99"/>
    <w:semiHidden/>
    <w:unhideWhenUsed/>
    <w:qFormat/>
    <w:tblPr>
      <w:tblCellMar>
        <w:left w:w="108" w:type="dxa"/>
        <w:top w:w="0" w:type="dxa"/>
        <w:right w:w="108" w:type="dxa"/>
        <w:bottom w:w="0" w:type="dxa"/>
      </w:tblCellMar>
    </w:tblPr>
  </w:style>
  <w:style w:type="paragraph" w:styleId="1220">
    <w:name w:val="Normal Indent"/>
    <w:basedOn w:val="1214"/>
    <w:link w:val="1264"/>
    <w:uiPriority w:val="0"/>
    <w:qFormat/>
    <w:pPr>
      <w:ind w:firstLine="420"/>
    </w:pPr>
    <w:rPr>
      <w:szCs w:val="20"/>
    </w:rPr>
  </w:style>
  <w:style w:type="paragraph" w:styleId="1221">
    <w:name w:val="Body Text"/>
    <w:basedOn w:val="1214"/>
    <w:next w:val="1222"/>
    <w:link w:val="1260"/>
    <w:uiPriority w:val="0"/>
    <w:qFormat/>
    <w:rPr>
      <w:rFonts w:ascii="楷体_GB2312" w:hAnsi="Arial" w:eastAsia="楷体_GB2312"/>
      <w:sz w:val="28"/>
      <w:szCs w:val="20"/>
    </w:rPr>
  </w:style>
  <w:style w:type="paragraph" w:styleId="1222">
    <w:name w:val="Body Text 2"/>
    <w:basedOn w:val="1214"/>
    <w:uiPriority w:val="99"/>
    <w:qFormat/>
    <w:rPr>
      <w:rFonts w:eastAsia="仿宋_GB2312"/>
      <w:color w:val="000000"/>
    </w:rPr>
  </w:style>
  <w:style w:type="paragraph" w:styleId="1223">
    <w:name w:val="Body Text Indent"/>
    <w:basedOn w:val="1214"/>
    <w:uiPriority w:val="0"/>
    <w:qFormat/>
    <w:pPr>
      <w:ind w:firstLine="645"/>
    </w:pPr>
    <w:rPr>
      <w:rFonts w:ascii="楷体_GB2312" w:eastAsia="楷体_GB2312"/>
      <w:sz w:val="32"/>
      <w:szCs w:val="20"/>
    </w:rPr>
  </w:style>
  <w:style w:type="paragraph" w:styleId="1224">
    <w:name w:val="Block Text"/>
    <w:basedOn w:val="1214"/>
    <w:uiPriority w:val="99"/>
    <w:unhideWhenUsed/>
    <w:qFormat/>
    <w:pPr>
      <w:ind w:left="1440" w:right="1440"/>
      <w:spacing w:after="120"/>
    </w:pPr>
  </w:style>
  <w:style w:type="paragraph" w:styleId="1225">
    <w:name w:val="Plain Text"/>
    <w:basedOn w:val="1214"/>
    <w:next w:val="1220"/>
    <w:link w:val="1262"/>
    <w:uiPriority w:val="99"/>
    <w:qFormat/>
    <w:rPr>
      <w:rFonts w:ascii="宋体" w:hAnsi="Courier New"/>
      <w:szCs w:val="20"/>
    </w:rPr>
  </w:style>
  <w:style w:type="paragraph" w:styleId="1226">
    <w:name w:val="Date"/>
    <w:basedOn w:val="1214"/>
    <w:next w:val="1214"/>
    <w:uiPriority w:val="0"/>
    <w:qFormat/>
    <w:rPr>
      <w:sz w:val="24"/>
      <w:szCs w:val="20"/>
    </w:rPr>
  </w:style>
  <w:style w:type="paragraph" w:styleId="1227">
    <w:name w:val="Footer"/>
    <w:basedOn w:val="1214"/>
    <w:uiPriority w:val="99"/>
    <w:qFormat/>
    <w:pPr>
      <w:jc w:val="left"/>
      <w:tabs>
        <w:tab w:val="center" w:pos="4153" w:leader="none"/>
        <w:tab w:val="right" w:pos="8306" w:leader="none"/>
      </w:tabs>
    </w:pPr>
    <w:rPr>
      <w:sz w:val="18"/>
      <w:szCs w:val="20"/>
    </w:rPr>
  </w:style>
  <w:style w:type="paragraph" w:styleId="1228">
    <w:name w:val="envelope return"/>
    <w:basedOn w:val="1214"/>
    <w:uiPriority w:val="0"/>
    <w:qFormat/>
    <w:rPr>
      <w:rFonts w:ascii="Arial" w:hAnsi="Arial"/>
    </w:rPr>
  </w:style>
  <w:style w:type="paragraph" w:styleId="1229">
    <w:name w:val="Header"/>
    <w:basedOn w:val="1214"/>
    <w:uiPriority w:val="0"/>
    <w:qFormat/>
    <w:pPr>
      <w:jc w:val="center"/>
      <w:tabs>
        <w:tab w:val="center" w:pos="4153" w:leader="none"/>
        <w:tab w:val="right" w:pos="8306" w:leader="none"/>
      </w:tabs>
      <w:pBdr>
        <w:bottom w:val="single" w:color="auto" w:sz="6" w:space="1"/>
      </w:pBdr>
    </w:pPr>
    <w:rPr>
      <w:sz w:val="18"/>
      <w:szCs w:val="18"/>
    </w:rPr>
  </w:style>
  <w:style w:type="paragraph" w:styleId="1230">
    <w:name w:val="toc 1"/>
    <w:basedOn w:val="1214"/>
    <w:next w:val="1214"/>
    <w:uiPriority w:val="0"/>
    <w:qFormat/>
  </w:style>
  <w:style w:type="paragraph" w:styleId="1231">
    <w:name w:val="toc 2"/>
    <w:basedOn w:val="1214"/>
    <w:next w:val="1214"/>
    <w:uiPriority w:val="39"/>
    <w:qFormat/>
    <w:pPr>
      <w:ind w:left="210"/>
      <w:jc w:val="left"/>
    </w:pPr>
    <w:rPr>
      <w:smallCaps/>
    </w:rPr>
  </w:style>
  <w:style w:type="paragraph" w:styleId="1232">
    <w:name w:val="Normal (Web)"/>
    <w:basedOn w:val="1214"/>
    <w:uiPriority w:val="0"/>
    <w:unhideWhenUsed/>
    <w:qFormat/>
    <w:pPr>
      <w:jc w:val="left"/>
      <w:spacing w:before="100" w:beforeAutospacing="1" w:after="100" w:afterAutospacing="1"/>
      <w:widowControl/>
    </w:pPr>
    <w:rPr>
      <w:rFonts w:ascii="宋体" w:hAnsi="宋体" w:cs="宋体"/>
      <w:sz w:val="24"/>
    </w:rPr>
  </w:style>
  <w:style w:type="paragraph" w:styleId="1233">
    <w:name w:val="Title"/>
    <w:basedOn w:val="1214"/>
    <w:next w:val="1214"/>
    <w:uiPriority w:val="0"/>
    <w:qFormat/>
    <w:pPr>
      <w:jc w:val="center"/>
      <w:spacing w:before="240" w:after="60"/>
      <w:outlineLvl w:val="0"/>
    </w:pPr>
    <w:rPr>
      <w:rFonts w:ascii="等线 Light" w:hAnsi="等线 Light"/>
      <w:b/>
      <w:bCs/>
      <w:sz w:val="32"/>
      <w:szCs w:val="32"/>
    </w:rPr>
  </w:style>
  <w:style w:type="paragraph" w:styleId="1234">
    <w:name w:val="Body Text First Indent"/>
    <w:basedOn w:val="1221"/>
    <w:link w:val="1261"/>
    <w:uiPriority w:val="99"/>
    <w:unhideWhenUsed/>
    <w:qFormat/>
    <w:pPr>
      <w:ind w:firstLine="420"/>
    </w:pPr>
  </w:style>
  <w:style w:type="paragraph" w:styleId="1235">
    <w:name w:val="Body Text First Indent 2"/>
    <w:basedOn w:val="1223"/>
    <w:uiPriority w:val="0"/>
    <w:unhideWhenUsed/>
    <w:qFormat/>
    <w:pPr>
      <w:ind w:left="420" w:firstLine="420"/>
      <w:spacing w:after="120"/>
    </w:pPr>
    <w:rPr>
      <w:rFonts w:ascii="Times New Roman" w:eastAsia="宋体"/>
      <w:sz w:val="21"/>
      <w:szCs w:val="24"/>
    </w:rPr>
  </w:style>
  <w:style w:type="table" w:styleId="1236">
    <w:name w:val="Table Grid"/>
    <w:basedOn w:val="1219"/>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37">
    <w:name w:val="page number"/>
    <w:uiPriority w:val="0"/>
    <w:qFormat/>
  </w:style>
  <w:style w:type="paragraph" w:styleId="1238" w:customStyle="1">
    <w:name w:val="DAS正文"/>
    <w:basedOn w:val="1214"/>
    <w:uiPriority w:val="0"/>
    <w:qFormat/>
    <w:pPr>
      <w:ind w:right="181" w:firstLine="480"/>
      <w:spacing w:line="360" w:lineRule="auto"/>
    </w:pPr>
    <w:rPr>
      <w:rFonts w:ascii="Verdana" w:hAnsi="Verdana"/>
    </w:rPr>
  </w:style>
  <w:style w:type="paragraph" w:styleId="1239" w:customStyle="1">
    <w:name w:val="正文文本缩进1"/>
    <w:basedOn w:val="1214"/>
    <w:next w:val="1240"/>
    <w:uiPriority w:val="0"/>
    <w:qFormat/>
    <w:pPr>
      <w:ind w:left="420"/>
      <w:spacing w:after="120"/>
    </w:pPr>
    <w:rPr>
      <w:szCs w:val="21"/>
    </w:rPr>
  </w:style>
  <w:style w:type="paragraph" w:styleId="1240" w:customStyle="1">
    <w:name w:val="寄信人地址1"/>
    <w:basedOn w:val="1214"/>
    <w:uiPriority w:val="0"/>
    <w:qFormat/>
    <w:rPr>
      <w:rFonts w:ascii="Arial" w:hAnsi="Arial"/>
    </w:rPr>
  </w:style>
  <w:style w:type="paragraph" w:styleId="1241" w:customStyle="1">
    <w:name w:val="普通正文"/>
    <w:basedOn w:val="1214"/>
    <w:uiPriority w:val="0"/>
    <w:qFormat/>
    <w:pPr>
      <w:ind w:firstLine="480"/>
      <w:jc w:val="left"/>
      <w:spacing w:before="120" w:after="120" w:line="360" w:lineRule="auto"/>
    </w:pPr>
    <w:rPr>
      <w:rFonts w:ascii="Arial" w:hAnsi="Arial"/>
      <w:sz w:val="24"/>
    </w:rPr>
  </w:style>
  <w:style w:type="character" w:styleId="1242" w:customStyle="1">
    <w:name w:val="标题 1 Char"/>
    <w:link w:val="1215"/>
    <w:uiPriority w:val="0"/>
    <w:qFormat/>
    <w:rPr>
      <w:rFonts w:ascii="楷体_GB2312" w:hAnsi="楷体_GB2312"/>
      <w:b/>
      <w:szCs w:val="20"/>
    </w:rPr>
  </w:style>
  <w:style w:type="character" w:styleId="1243" w:customStyle="1">
    <w:name w:val="apple-style-span"/>
    <w:uiPriority w:val="0"/>
    <w:qFormat/>
  </w:style>
  <w:style w:type="paragraph" w:styleId="1244" w:customStyle="1">
    <w:name w:val="格式３"/>
    <w:basedOn w:val="1214"/>
    <w:uiPriority w:val="99"/>
    <w:qFormat/>
    <w:pPr>
      <w:ind w:left="600" w:hanging="600"/>
      <w:spacing w:line="420" w:lineRule="exact"/>
    </w:pPr>
    <w:rPr>
      <w:rFonts w:ascii="宋体" w:hAnsi="宋体"/>
      <w:color w:val="000000"/>
      <w:sz w:val="24"/>
      <w:szCs w:val="20"/>
    </w:rPr>
  </w:style>
  <w:style w:type="paragraph" w:styleId="1245">
    <w:name w:val="List Paragraph"/>
    <w:basedOn w:val="1214"/>
    <w:uiPriority w:val="99"/>
    <w:qFormat/>
    <w:pPr>
      <w:ind w:firstLine="420"/>
    </w:pPr>
    <w:rPr>
      <w:rFonts w:ascii="Calibri" w:hAnsi="Calibri"/>
      <w:szCs w:val="22"/>
    </w:rPr>
  </w:style>
  <w:style w:type="paragraph" w:styleId="1246" w:customStyle="1">
    <w:name w:val="标题 41"/>
    <w:basedOn w:val="1214"/>
    <w:next w:val="1214"/>
    <w:uiPriority w:val="0"/>
    <w:qFormat/>
    <w:pPr>
      <w:keepLines/>
      <w:keepNext/>
      <w:spacing w:before="280" w:after="290" w:line="376" w:lineRule="auto"/>
      <w:outlineLvl w:val="3"/>
    </w:pPr>
    <w:rPr>
      <w:rFonts w:ascii="Arial" w:hAnsi="Arial" w:eastAsia="黑体" w:cs="Arial"/>
      <w:b/>
      <w:bCs/>
      <w:sz w:val="28"/>
      <w:szCs w:val="28"/>
    </w:rPr>
  </w:style>
  <w:style w:type="paragraph" w:styleId="1247" w:customStyle="1">
    <w:name w:val="正文缩进1"/>
    <w:basedOn w:val="1214"/>
    <w:uiPriority w:val="0"/>
    <w:qFormat/>
    <w:pPr>
      <w:ind w:firstLine="420"/>
    </w:pPr>
    <w:rPr>
      <w:szCs w:val="21"/>
    </w:rPr>
  </w:style>
  <w:style w:type="paragraph" w:styleId="1248" w:customStyle="1">
    <w:name w:val="标题 11"/>
    <w:basedOn w:val="1214"/>
    <w:next w:val="1214"/>
    <w:uiPriority w:val="0"/>
    <w:qFormat/>
    <w:pPr>
      <w:jc w:val="center"/>
      <w:keepNext/>
      <w:outlineLvl w:val="0"/>
    </w:pPr>
    <w:rPr>
      <w:rFonts w:ascii="楷体_GB2312" w:eastAsia="楷体_GB2312"/>
      <w:sz w:val="28"/>
      <w:szCs w:val="28"/>
    </w:rPr>
  </w:style>
  <w:style w:type="paragraph" w:styleId="124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50" w:customStyle="1">
    <w:name w:val="列出段落1"/>
    <w:basedOn w:val="1214"/>
    <w:uiPriority w:val="0"/>
    <w:qFormat/>
    <w:pPr>
      <w:contextualSpacing/>
      <w:ind w:left="720"/>
      <w:jc w:val="left"/>
      <w:widowControl/>
    </w:pPr>
    <w:rPr>
      <w:rFonts w:ascii="Calibri" w:hAnsi="Calibri"/>
      <w:sz w:val="24"/>
      <w:lang w:eastAsia="en-US" w:bidi="en-US"/>
    </w:rPr>
  </w:style>
  <w:style w:type="paragraph" w:styleId="1251" w:customStyle="1">
    <w:name w:val="纯文本1"/>
    <w:basedOn w:val="1214"/>
    <w:uiPriority w:val="0"/>
    <w:qFormat/>
    <w:rPr>
      <w:rFonts w:ascii="宋体" w:hAnsi="Courier New" w:cs="Courier New"/>
      <w:szCs w:val="21"/>
    </w:rPr>
  </w:style>
  <w:style w:type="paragraph" w:styleId="1252" w:customStyle="1">
    <w:name w:val="二级目录"/>
    <w:next w:val="1214"/>
    <w:uiPriority w:val="0"/>
    <w:qFormat/>
    <w:pPr>
      <w:ind w:left="567" w:hanging="567"/>
      <w:tabs>
        <w:tab w:val="left" w:pos="720" w:leader="none"/>
      </w:tabs>
      <w:outlineLvl w:val="1"/>
    </w:pPr>
    <w:rPr>
      <w:rFonts w:ascii="Calibri" w:hAnsi="Calibri" w:eastAsia="Times New Roman" w:cs="Times New Roman"/>
      <w:b/>
      <w:sz w:val="30"/>
      <w:szCs w:val="28"/>
      <w:lang w:val="en-US" w:eastAsia="zh-CN" w:bidi="ar-SA"/>
    </w:rPr>
  </w:style>
  <w:style w:type="paragraph" w:styleId="1253" w:customStyle="1">
    <w:name w:val="页脚1"/>
    <w:basedOn w:val="1214"/>
    <w:uiPriority w:val="0"/>
    <w:qFormat/>
    <w:pPr>
      <w:jc w:val="left"/>
      <w:tabs>
        <w:tab w:val="center" w:pos="4153" w:leader="none"/>
        <w:tab w:val="right" w:pos="8306" w:leader="none"/>
      </w:tabs>
    </w:pPr>
    <w:rPr>
      <w:sz w:val="18"/>
    </w:rPr>
  </w:style>
  <w:style w:type="character" w:styleId="1254" w:customStyle="1">
    <w:name w:val="页码1"/>
    <w:uiPriority w:val="0"/>
    <w:qFormat/>
  </w:style>
  <w:style w:type="paragraph" w:styleId="1255" w:customStyle="1">
    <w:name w:val="标题 21"/>
    <w:basedOn w:val="1214"/>
    <w:next w:val="12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256" w:customStyle="1">
    <w:name w:val="简单回函地址"/>
    <w:basedOn w:val="1214"/>
    <w:uiPriority w:val="0"/>
    <w:qFormat/>
    <w:rPr>
      <w:rFonts w:cs="宋体"/>
      <w:szCs w:val="21"/>
    </w:rPr>
  </w:style>
  <w:style w:type="table" w:styleId="1257" w:customStyle="1">
    <w:name w:val="Table Normal"/>
    <w:uiPriority w:val="0"/>
    <w:semiHidden/>
    <w:unhideWhenUsed/>
    <w:qFormat/>
    <w:tblPr>
      <w:tblCellMar>
        <w:left w:w="0" w:type="dxa"/>
        <w:top w:w="0" w:type="dxa"/>
        <w:right w:w="0" w:type="dxa"/>
        <w:bottom w:w="0" w:type="dxa"/>
      </w:tblCellMar>
    </w:tblPr>
  </w:style>
  <w:style w:type="paragraph" w:styleId="1258" w:customStyle="1">
    <w:name w:val="Table Paragraph"/>
    <w:basedOn w:val="1214"/>
    <w:uiPriority w:val="1"/>
    <w:qFormat/>
    <w:pPr>
      <w:jc w:val="left"/>
    </w:pPr>
    <w:rPr>
      <w:sz w:val="22"/>
      <w:lang w:eastAsia="en-US"/>
    </w:rPr>
  </w:style>
  <w:style w:type="paragraph" w:styleId="1259" w:customStyle="1">
    <w:name w:val="sh4"/>
    <w:basedOn w:val="1214"/>
    <w:uiPriority w:val="0"/>
    <w:qFormat/>
    <w:pPr>
      <w:ind w:firstLine="420"/>
      <w:spacing w:line="460" w:lineRule="exact"/>
    </w:pPr>
    <w:rPr>
      <w:rFonts w:ascii="宋体" w:hAnsi="宋体"/>
      <w:szCs w:val="21"/>
      <w:lang w:eastAsia="en-US"/>
    </w:rPr>
  </w:style>
  <w:style w:type="character" w:styleId="1260" w:customStyle="1">
    <w:name w:val="正文文本 Char"/>
    <w:basedOn w:val="1218"/>
    <w:link w:val="1221"/>
    <w:uiPriority w:val="0"/>
    <w:qFormat/>
    <w:rPr>
      <w:rFonts w:ascii="楷体_GB2312" w:hAnsi="Arial" w:eastAsia="楷体_GB2312"/>
      <w:sz w:val="28"/>
    </w:rPr>
  </w:style>
  <w:style w:type="character" w:styleId="1261" w:customStyle="1">
    <w:name w:val="正文首行缩进 Char"/>
    <w:basedOn w:val="1260"/>
    <w:link w:val="1234"/>
    <w:uiPriority w:val="99"/>
    <w:qFormat/>
    <w:rPr>
      <w:rFonts w:ascii="楷体_GB2312" w:hAnsi="Arial" w:eastAsia="楷体_GB2312"/>
      <w:sz w:val="28"/>
    </w:rPr>
  </w:style>
  <w:style w:type="character" w:styleId="1262" w:customStyle="1">
    <w:name w:val="纯文本 Char"/>
    <w:link w:val="1225"/>
    <w:uiPriority w:val="99"/>
    <w:qFormat/>
    <w:rPr>
      <w:rFonts w:ascii="宋体" w:hAnsi="Courier New"/>
      <w:sz w:val="21"/>
    </w:rPr>
  </w:style>
  <w:style w:type="character" w:styleId="1263" w:customStyle="1">
    <w:name w:val="标题 1 字符1"/>
    <w:basedOn w:val="1218"/>
    <w:uiPriority w:val="0"/>
    <w:qFormat/>
    <w:rPr>
      <w:rFonts w:ascii="宋体" w:hAnsi="宋体" w:cs="宋体"/>
      <w:b/>
      <w:sz w:val="28"/>
      <w:szCs w:val="28"/>
    </w:rPr>
  </w:style>
  <w:style w:type="character" w:styleId="1264" w:customStyle="1">
    <w:name w:val="正文缩进 Char"/>
    <w:link w:val="1220"/>
    <w:uiPriority w:val="0"/>
    <w:qFormat/>
    <w:rPr>
      <w:sz w:val="21"/>
    </w:rPr>
  </w:style>
  <w:style w:type="paragraph" w:styleId="1265" w:customStyle="1">
    <w:name w:val="正文11"/>
    <w:next w:val="1214"/>
    <w:uiPriority w:val="0"/>
    <w:qFormat/>
    <w:pPr>
      <w:ind w:right="-91"/>
      <w:jc w:val="both"/>
      <w:spacing w:line="360" w:lineRule="auto"/>
    </w:pPr>
    <w:rPr>
      <w:rFonts w:ascii="Times New Roman" w:hAnsi="Times New Roman" w:eastAsia="宋体" w:cs="Times New Roman"/>
      <w:sz w:val="21"/>
      <w:szCs w:val="24"/>
      <w:lang w:val="en-US" w:eastAsia="zh-CN" w:bidi="ar-SA"/>
    </w:rPr>
  </w:style>
  <w:style w:type="paragraph" w:styleId="1266" w:customStyle="1">
    <w:name w:val="msonormal"/>
    <w:basedOn w:val="1214"/>
    <w:uiPriority w:val="0"/>
    <w:qFormat/>
    <w:pPr>
      <w:jc w:val="left"/>
      <w:spacing w:before="100" w:beforeAutospacing="1" w:after="100" w:afterAutospacing="1"/>
      <w:widowControl/>
    </w:pPr>
    <w:rPr>
      <w:rFonts w:ascii="宋体" w:hAnsi="宋体" w:cs="宋体"/>
      <w:sz w:val="24"/>
    </w:rPr>
  </w:style>
  <w:style w:type="paragraph" w:styleId="1267" w:customStyle="1">
    <w:name w:val="段"/>
    <w:next w:val="1214"/>
    <w:uiPriority w:val="0"/>
    <w:qFormat/>
    <w:pPr>
      <w:ind w:firstLine="420"/>
      <w:jc w:val="both"/>
      <w:spacing w:after="200" w:line="276" w:lineRule="auto"/>
      <w:tabs>
        <w:tab w:val="center" w:pos="4201" w:leader="none"/>
        <w:tab w:val="right" w:pos="9298" w:leader="dot"/>
      </w:tabs>
    </w:pPr>
    <w:rPr>
      <w:rFonts w:ascii="宋体" w:hAnsi="Calibri" w:eastAsia="宋体" w:cs="Times New Roman"/>
      <w:lang w:val="en-US" w:eastAsia="zh-CN" w:bidi="ar-SA"/>
    </w:rPr>
  </w:style>
  <w:style w:type="paragraph" w:styleId="1268" w:customStyle="1">
    <w:name w:val="9-正文"/>
    <w:basedOn w:val="1214"/>
    <w:uiPriority w:val="0"/>
    <w:qFormat/>
    <w:pPr>
      <w:ind w:firstLine="480"/>
      <w:spacing w:line="360" w:lineRule="auto"/>
    </w:pPr>
    <w:rPr>
      <w:sz w:val="24"/>
    </w:rPr>
  </w:style>
  <w:style w:type="paragraph" w:styleId="1269" w:customStyle="1">
    <w:name w:val="9-正文编号"/>
    <w:basedOn w:val="1268"/>
    <w:uiPriority w:val="0"/>
    <w:qFormat/>
    <w:pPr>
      <w:ind w:left="846" w:hanging="422"/>
    </w:pPr>
    <w:rPr>
      <w:rFonts w:ascii="宋体" w:hAnsi="宋体"/>
      <w:szCs w:val="21"/>
    </w:rPr>
  </w:style>
  <w:style w:type="numbering" w:styleId="12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2f006ea7-3ecc-415a-9b38-b0c6cf553a86</errorID>
      <errorWord>,</errorWord>
      <group>L1_Format</group>
      <groupName>格式问题</groupName>
      <ability>L2_HalfPunc</ability>
      <abilityName>全半角检查</abilityName>
      <candidateList>
        <item>，</item>
      </candidateList>
      <explain>文本全半角错误。</explain>
      <paraID>607BBCC4</paraID>
      <start>36</start>
      <end>37</end>
      <status>unmodified</status>
      <modifiedWord/>
      <trackRevisions>false</trackRevisions>
    </reviewItem>
    <reviewItem>
      <errorID>cca6d243-779e-44a5-8212-0051e9af4a35</errorID>
      <errorWord>苏</errorWord>
      <group>L1_Word</group>
      <groupName>字词问题</groupName>
      <ability>L2_Typo</ability>
      <abilityName>字词错误</abilityName>
      <candidateList>
        <item>苏省</item>
      </candidateList>
      <explain/>
      <paraID>607BBCC4</paraID>
      <start>91</start>
      <end>92</end>
      <status>unmodified</status>
      <modifiedWord/>
      <trackRevisions>false</trackRevisions>
    </reviewItem>
    <reviewItem>
      <errorID>0ee41d5d-c7ec-4e21-b6af-3950904ce738</errorID>
      <errorWord>（</errorWord>
      <group>L1_Punc</group>
      <groupName>标点问题</groupName>
      <ability>L2_Punc</ability>
      <abilityName>标点符号检查</abilityName>
      <candidateList/>
      <explain>同一形式括号套用。</explain>
      <paraID>227C2B80</paraID>
      <start>30</start>
      <end>31</end>
      <status>unmodified</status>
      <modifiedWord/>
      <trackRevisions>false</trackRevisions>
    </reviewItem>
    <reviewItem>
      <errorID>fe6cc30f-54cd-4a02-8b08-e59b0d23eb30</errorID>
      <errorWord>）</errorWord>
      <group>L1_Punc</group>
      <groupName>标点问题</groupName>
      <ability>L2_Punc</ability>
      <abilityName>标点符号检查</abilityName>
      <candidateList/>
      <explain>同一形式括号套用。</explain>
      <paraID>227C2B80</paraID>
      <start>49</start>
      <end>50</end>
      <status>unmodified</status>
      <modifiedWord/>
      <trackRevisions>false</trackRevisions>
    </reviewItem>
    <reviewItem>
      <errorID>839cd5b9-414b-456a-bbda-4912cdccf180</errorID>
      <errorWord>即被</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6F9870BC</paraID>
      <start>21</start>
      <end>23</end>
      <status>unmodified</status>
      <modifiedWord/>
      <trackRevisions>false</trackRevisions>
    </reviewItem>
    <reviewItem>
      <errorID>d4792945-072b-403c-9f7a-c574bcfb6d10</errorID>
      <errorWord>“.</errorWord>
      <group>L1_Punc</group>
      <groupName>标点问题</groupName>
      <ability>L2_Punc</ability>
      <abilityName>标点符号检查</abilityName>
      <candidateList>
        <item>“</item>
      </candidateList>
      <explain/>
      <paraID> 3EC22EF</paraID>
      <start>190</start>
      <end>192</end>
      <status>unmodified</status>
      <modifiedWord/>
      <trackRevisions>false</trackRevisions>
    </reviewItem>
    <reviewItem>
      <errorID>d2c587fb-0ed5-47e1-9be0-c08b61be233c</errorID>
      <errorWord>作</errorWord>
      <group>L1_Word</group>
      <groupName>字词问题</groupName>
      <ability>L2_Typo</ability>
      <abilityName>字词错误</abilityName>
      <candidateList>
        <item>做</item>
      </candidateList>
      <explain>存在发音相同字词的误用。</explain>
      <paraID>7CDE993E</paraID>
      <start>148</start>
      <end>149</end>
      <status>unmodified</status>
      <modifiedWord/>
      <trackRevisions>false</trackRevisions>
    </reviewItem>
    <reviewItem>
      <errorID>0eab9ce6-75e0-4317-b945-5ca1e8013939</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37997FB9</paraID>
      <start>52</start>
      <end>55</end>
      <status>unmodified</status>
      <modifiedWord/>
      <trackRevisions>false</trackRevisions>
    </reviewItem>
    <reviewItem>
      <errorID>17f1ca34-cccb-4797-bd15-8cbfc82e4f57</errorID>
      <errorWord>重大负</errorWord>
      <group>L1_Word</group>
      <groupName>字词问题</groupName>
      <ability>L2_Typo</ability>
      <abilityName>字词错误</abilityName>
      <candidateList>
        <item>重大</item>
      </candidateList>
      <explain/>
      <paraID>37997FB9</paraID>
      <start>78</start>
      <end>81</end>
      <status>unmodified</status>
      <modifiedWord/>
      <trackRevisions>false</trackRevisions>
    </reviewItem>
    <reviewItem>
      <errorID>de541ad7-001b-4ec4-9606-8a50fa36f2a5</errorID>
      <errorWord>保持通讯畅通</errorWord>
      <group>L1_Word</group>
      <groupName>字词问题</groupName>
      <ability>L2_Typo</ability>
      <abilityName>字词错误</abilityName>
      <candidateList>
        <item>保持通信畅通</item>
      </candidateList>
      <explain/>
      <paraID>55D797E4</paraID>
      <start>14</start>
      <end>20</end>
      <status>unmodified</status>
      <modifiedWord/>
      <trackRevisions>false</trackRevisions>
    </reviewItem>
    <reviewItem>
      <errorID>077f0ce4-b239-4027-8509-309269845669</errorID>
      <errorWord>（</errorWord>
      <group>L1_Punc</group>
      <groupName>标点问题</groupName>
      <ability>L2_Punc</ability>
      <abilityName>标点符号检查</abilityName>
      <candidateList/>
      <explain/>
      <paraID>3F91E847</paraID>
      <start>34</start>
      <end>35</end>
      <status>unmodified</status>
      <modifiedWord/>
      <trackRevisions>false</trackRevisions>
    </reviewItem>
    <reviewItem>
      <errorID>c24ef974-391a-4f6c-88cc-49c54b36a6b3</errorID>
      <errorWord>/）</errorWord>
      <group>L1_Punc</group>
      <groupName>标点问题</groupName>
      <ability>L2_Punc</ability>
      <abilityName>标点符号检查</abilityName>
      <candidateList>
        <item>）</item>
      </candidateList>
      <explain/>
      <paraID> 5942C8E</paraID>
      <start>101</start>
      <end>103</end>
      <status>unmodified</status>
      <modifiedWord/>
      <trackRevisions>false</trackRevisions>
    </reviewItem>
    <reviewItem>
      <errorID>3b0f70f4-6f7e-4276-81f7-acd05f8d389e</errorID>
      <errorWord>（</errorWord>
      <group>L1_Punc</group>
      <groupName>标点问题</groupName>
      <ability>L2_Punc</ability>
      <abilityName>标点符号检查</abilityName>
      <candidateList/>
      <explain/>
      <paraID> B37A6CA</paraID>
      <start>43</start>
      <end>44</end>
      <status>unmodified</status>
      <modifiedWord/>
      <trackRevisions>false</trackRevisions>
    </reviewItem>
    <reviewItem>
      <errorID>5245947a-cca1-4a0f-8374-eb4df03f4e01</errorID>
      <errorWord>,</errorWord>
      <group>L1_Format</group>
      <groupName>格式问题</groupName>
      <ability>L2_HalfPunc</ability>
      <abilityName>全半角检查</abilityName>
      <candidateList>
        <item>，</item>
      </candidateList>
      <explain>文本全半角错误。</explain>
      <paraID>6926147C</paraID>
      <start>38</start>
      <end>39</end>
      <status>unmodified</status>
      <modifiedWord/>
      <trackRevisions>false</trackRevisions>
    </reviewItem>
    <reviewItem>
      <errorID>f8d4dcd2-fc7e-4ad0-9b83-64682c5c6e29</errorID>
      <errorWord>,</errorWord>
      <group>L1_Format</group>
      <groupName>格式问题</groupName>
      <ability>L2_HalfPunc</ability>
      <abilityName>全半角检查</abilityName>
      <candidateList>
        <item>，</item>
      </candidateList>
      <explain>文本全半角错误。</explain>
      <paraID>6926147C</paraID>
      <start>79</start>
      <end>80</end>
      <status>unmodified</status>
      <modifiedWord/>
      <trackRevisions>false</trackRevisions>
    </reviewItem>
    <reviewItem>
      <errorID>c061767e-21ff-4c59-be87-557e5ba5d722</errorID>
      <errorWord>,</errorWord>
      <group>L1_Format</group>
      <groupName>格式问题</groupName>
      <ability>L2_HalfPunc</ability>
      <abilityName>全半角检查</abilityName>
      <candidateList>
        <item>，</item>
      </candidateList>
      <explain>文本全半角错误。</explain>
      <paraID>6926147C</paraID>
      <start>89</start>
      <end>90</end>
      <status>unmodified</status>
      <modifiedWord/>
      <trackRevisions>false</trackRevisions>
    </reviewItem>
    <reviewItem>
      <errorID>2ffc81d7-cdfd-4447-8fad-82cbdf5b199b</errorID>
      <errorWord>,</errorWord>
      <group>L1_Format</group>
      <groupName>格式问题</groupName>
      <ability>L2_HalfPunc</ability>
      <abilityName>全半角检查</abilityName>
      <candidateList>
        <item>，</item>
      </candidateList>
      <explain>文本全半角错误。</explain>
      <paraID>6926147C</paraID>
      <start>108</start>
      <end>109</end>
      <status>unmodified</status>
      <modifiedWord/>
      <trackRevisions>false</trackRevisions>
    </reviewItem>
    <reviewItem>
      <errorID>fd201137-0532-456c-b040-4db84fc8f019</errorID>
      <errorWord>,</errorWord>
      <group>L1_Format</group>
      <groupName>格式问题</groupName>
      <ability>L2_HalfPunc</ability>
      <abilityName>全半角检查</abilityName>
      <candidateList>
        <item>，</item>
      </candidateList>
      <explain>文本全半角错误。</explain>
      <paraID>6F71EE93</paraID>
      <start>11</start>
      <end>12</end>
      <status>unmodified</status>
      <modifiedWord/>
      <trackRevisions>false</trackRevisions>
    </reviewItem>
    <reviewItem>
      <errorID>56ddafe5-071a-4b02-82fd-eefd69edfdb2</errorID>
      <errorWord>,</errorWord>
      <group>L1_Format</group>
      <groupName>格式问题</groupName>
      <ability>L2_HalfPunc</ability>
      <abilityName>全半角检查</abilityName>
      <candidateList>
        <item>，</item>
      </candidateList>
      <explain>文本全半角错误。</explain>
      <paraID>6F71EE93</paraID>
      <start>124</start>
      <end>125</end>
      <status>unmodified</status>
      <modifiedWord/>
      <trackRevisions>false</trackRevisions>
    </reviewItem>
    <reviewItem>
      <errorID>82eeaa30-53cd-4ac5-b996-59d57d98bfe2</errorID>
      <errorWord>,</errorWord>
      <group>L1_Format</group>
      <groupName>格式问题</groupName>
      <ability>L2_HalfPunc</ability>
      <abilityName>全半角检查</abilityName>
      <candidateList>
        <item>，</item>
      </candidateList>
      <explain>文本全半角错误。</explain>
      <paraID>433D94E0</paraID>
      <start>24</start>
      <end>25</end>
      <status>unmodified</status>
      <modifiedWord/>
      <trackRevisions>false</trackRevisions>
    </reviewItem>
    <reviewItem>
      <errorID>749826ac-e38d-4f86-bb0b-c5cca90c5101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12414ABB</paraID>
      <start>0</start>
      <end>2</end>
      <status>modified</status>
      <modifiedWord>1.</modifiedWord>
      <trackRevisions>false</trackRevisions>
    </reviewItem>
    <reviewItem>
      <errorID>b0a84a9e-07ca-4b48-a399-4116da3ec5c3</errorID>
      <errorWord>系统系统</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2E9E4B50</paraID>
      <start>59</start>
      <end>61</end>
      <status>modified</status>
      <modifiedWord>系统</modifiedWord>
      <trackRevisions>false</trackRevisions>
    </reviewItem>
    <reviewItem>
      <errorID>69f940e2-9894-4a89-b581-b7097f82ec6e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77AA448D</paraID>
      <start>52</start>
      <end>54</end>
      <status>modified</status>
      <modifiedWord>》《</modifiedWord>
      <trackRevisions>false</trackRevisions>
    </reviewItem>
    <reviewItem>
      <errorID>2e51d9d3-aa4f-4371-b40b-995f7c128ddc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3EC139D8</paraID>
      <start>0</start>
      <end>2</end>
      <status>modified</status>
      <modifiedWord>2.</modifiedWord>
      <trackRevisions>false</trackRevisions>
    </reviewItem>
    <reviewItem>
      <errorID>f9e581f4-1f04-4477-b25b-3c90735d7bf6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57C69A16</paraID>
      <start>0</start>
      <end>2</end>
      <status>modified</status>
      <modifiedWord>3.</modifiedWord>
      <trackRevisions>false</trackRevisions>
    </reviewItem>
    <reviewItem>
      <errorID>a86b726e-2054-4f8f-a0de-33e93037aa8a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D5A4A35</paraID>
      <start>0</start>
      <end>2</end>
      <status>modified</status>
      <modifiedWord>4.</modifiedWord>
      <trackRevisions>false</trackRevisions>
    </reviewItem>
    <reviewItem>
      <errorID>8f09e7cd-19b7-476e-b072-04724e114d0b</errorID>
      <errorWord>流</errorWord>
      <group>L1_Word</group>
      <groupName>字词问题</groupName>
      <ability>L2_Typo</ability>
      <abilityName>字词错误</abilityName>
      <candidateList>
        <item>流程</item>
      </candidateList>
      <explain/>
      <paraID>2A777367</paraID>
      <start>58</start>
      <end>59</end>
      <status>unmodified</status>
      <modifiedWord/>
      <trackRevisions>false</trackRevisions>
    </reviewItem>
    <reviewItem>
      <errorID>af9d9f54-abac-46db-b41e-437756130052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70BE280F</paraID>
      <start>0</start>
      <end>2</end>
      <status>modified</status>
      <modifiedWord>5.</modifiedWord>
      <trackRevisions>false</trackRevisions>
    </reviewItem>
    <reviewItem>
      <errorID>f67d1138-b706-4cef-8da6-0fb8feff2967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60BF69FC</paraID>
      <start>0</start>
      <end>2</end>
      <status>modified</status>
      <modifiedWord>6.</modifiedWord>
      <trackRevisions>false</trackRevisions>
    </reviewItem>
    <reviewItem>
      <errorID>a15e52ab-bbd2-4054-9981-6c5bc348ce2e</errorID>
      <errorWord>新年度帐</errorWord>
      <group>L1_Word</group>
      <groupName>字词问题</groupName>
      <ability>L2_Alias</ability>
      <abilityName>也作/曾用词</abilityName>
      <candidateList>
        <item>新年度账</item>
      </candidateList>
      <explain>词汇[新年度帐]为不规范表述或旧称，其规范书面表述为[新年度账]。</explain>
      <paraID>2E3AD38C</paraID>
      <start>9</start>
      <end>13</end>
      <status>unmodified</status>
      <modifiedWord/>
      <trackRevisions>false</trackRevisions>
    </reviewItem>
    <reviewItem>
      <errorID>df96fef3-981b-43a9-aa5f-5fe0b78b8eac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6260A7E8</paraID>
      <start>0</start>
      <end>2</end>
      <status>modified</status>
      <modifiedWord>7.</modifiedWord>
      <trackRevisions>false</trackRevisions>
    </reviewItem>
    <reviewItem>
      <errorID>e58cf3b6-ad2b-4c4e-9160-990713d0ba56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65BE30C</paraID>
      <start>0</start>
      <end>2</end>
      <status>modified</status>
      <modifiedWord>1.</modifiedWord>
      <trackRevisions>false</trackRevisions>
    </reviewItem>
    <reviewItem>
      <errorID>c178e9c2-700d-48ee-bdc2-0f7846ff9393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2B5AF691</paraID>
      <start>0</start>
      <end>2</end>
      <status>modified</status>
      <modifiedWord>2.</modifiedWord>
      <trackRevisions>false</trackRevisions>
    </reviewItem>
    <reviewItem>
      <errorID>d5ffcb1d-c4c5-4840-b288-787c3ae91c06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56CB107D</paraID>
      <start>0</start>
      <end>2</end>
      <status>modified</status>
      <modifiedWord>3.</modifiedWord>
      <trackRevisions>false</trackRevisions>
    </reviewItem>
    <reviewItem>
      <errorID>0f049f87-ac8a-4039-8708-2f44f0187829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1204B326</paraID>
      <start>0</start>
      <end>2</end>
      <status>modified</status>
      <modifiedWord>4.</modifiedWord>
      <trackRevisions>false</trackRevisions>
    </reviewItem>
    <reviewItem>
      <errorID>7c9d0986-1246-4846-8243-80ffea420fa5</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1C82616F</paraID>
      <start>32</start>
      <end>34</end>
      <status>modified</status>
      <modifiedWord>系统</modifiedWord>
      <trackRevisions>false</trackRevisions>
    </reviewItem>
    <reviewItem>
      <errorID>3c3aed36-d5dc-4928-88c1-aa2fd5b12a21</errorID>
      <errorWord>至少3年以上</errorWord>
      <group>L1_Word</group>
      <groupName>字词问题</groupName>
      <ability>L2_Typo</ability>
      <abilityName>字词错误</abilityName>
      <candidateList>
        <item>至少3年</item>
      </candidateList>
      <explain/>
      <paraID>1C82616F</paraID>
      <start>40</start>
      <end>44</end>
      <status>modified</status>
      <modifiedWord>至少3年</modifiedWord>
      <trackRevisions>false</trackRevisions>
    </reviewItem>
    <reviewItem>
      <errorID>3f1954d1-15ab-41ae-9626-46aeb0929ccb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30B24B57</paraID>
      <start>0</start>
      <end>2</end>
      <status>modified</status>
      <modifiedWord>1.</modifiedWord>
      <trackRevisions>false</trackRevisions>
    </reviewItem>
    <reviewItem>
      <errorID>4b84fc7f-a655-4089-8955-b9d66e7a89fb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7ED6294B</paraID>
      <start>0</start>
      <end>2</end>
      <status>modified</status>
      <modifiedWord>2.</modifiedWord>
      <trackRevisions>false</trackRevisions>
    </reviewItem>
    <reviewItem>
      <errorID>635463ad-742b-4af7-9bd3-2f65a662d3e9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1421919A</paraID>
      <start>0</start>
      <end>2</end>
      <status>modified</status>
      <modifiedWord>3.</modifiedWord>
      <trackRevisions>false</trackRevisions>
    </reviewItem>
    <reviewItem>
      <errorID>a65c9df8-fa93-44f6-b1aa-dff2704ad74a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6AD8692B</paraID>
      <start>0</start>
      <end>2</end>
      <status>modified</status>
      <modifiedWord>1.</modifiedWord>
      <trackRevisions>false</trackRevisions>
    </reviewItem>
    <reviewItem>
      <errorID>f2d42677-7a98-4d79-a2ec-e972a1b2bed1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5BFC20BD</paraID>
      <start>0</start>
      <end>2</end>
      <status>modified</status>
      <modifiedWord>2.</modifiedWord>
      <trackRevisions>false</trackRevisions>
    </reviewItem>
    <reviewItem>
      <errorID>867ffd49-1da7-489d-b262-498cd53f18a1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2004B38C</paraID>
      <start>0</start>
      <end>2</end>
      <status>modified</status>
      <modifiedWord>3.</modifiedWord>
      <trackRevisions>false</trackRevisions>
    </reviewItem>
    <reviewItem>
      <errorID>95ad6f2f-98f4-495b-b580-cf00db41bf45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5D7B17E</paraID>
      <start>0</start>
      <end>2</end>
      <status>modified</status>
      <modifiedWord>4.</modifiedWord>
      <trackRevisions>false</trackRevisions>
    </reviewItem>
    <reviewItem>
      <errorID>6f2d3f4c-b795-4331-8764-eac478c3e58f</errorID>
      <errorWord>(</errorWord>
      <group>L1_Format</group>
      <groupName>格式问题</groupName>
      <ability>L2_HalfPunc</ability>
      <abilityName>全半角检查</abilityName>
      <candidateList>
        <item>（</item>
      </candidateList>
      <explain>文本全半角错误。</explain>
      <paraID>6E69EB46</paraID>
      <start>79</start>
      <end>80</end>
      <status>unmodified</status>
      <modifiedWord/>
      <trackRevisions>false</trackRevisions>
    </reviewItem>
    <reviewItem>
      <errorID>7820a861-2816-4f80-96ad-cd615c680f9a</errorID>
      <errorWord>)</errorWord>
      <group>L1_Format</group>
      <groupName>格式问题</groupName>
      <ability>L2_HalfPunc</ability>
      <abilityName>全半角检查</abilityName>
      <candidateList>
        <item>）</item>
      </candidateList>
      <explain>文本全半角错误。</explain>
      <paraID>6E69EB46</paraID>
      <start>90</start>
      <end>91</end>
      <status>unmodified</status>
      <modifiedWord/>
      <trackRevisions>false</trackRevisions>
    </reviewItem>
    <reviewItem>
      <errorID>1fc2e228-0eb1-4e0b-8032-b425b8706308</errorID>
      <errorWord>,</errorWord>
      <group>L1_Format</group>
      <groupName>格式问题</groupName>
      <ability>L2_HalfPunc</ability>
      <abilityName>全半角检查</abilityName>
      <candidateList>
        <item>，</item>
      </candidateList>
      <explain>文本全半角错误。</explain>
      <paraID>520258AA</paraID>
      <start>27</start>
      <end>28</end>
      <status>unmodified</status>
      <modifiedWord/>
      <trackRevisions>false</trackRevisions>
    </reviewItem>
    <reviewItem>
      <errorID>48bf043d-33f5-4663-a87a-1798e987d3ea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A5B574C</paraID>
      <start>0</start>
      <end>2</end>
      <status>modified</status>
      <modifiedWord>1.</modifiedWord>
      <trackRevisions>false</trackRevisions>
    </reviewItem>
    <reviewItem>
      <errorID>751da8db-f61b-4cdc-9ab4-f92d74685b96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48A34F5C</paraID>
      <start>0</start>
      <end>2</end>
      <status>modified</status>
      <modifiedWord>2.</modifiedWord>
      <trackRevisions>false</trackRevisions>
    </reviewItem>
    <reviewItem>
      <errorID>bbd70472-8f04-4fe2-a1b4-02461995532a</errorID>
      <errorWord>项目中</errorWord>
      <group>L1_Word</group>
      <groupName>字词问题</groupName>
      <ability>L2_Typo</ability>
      <abilityName>字词错误</abilityName>
      <candidateList>
        <item>项目</item>
      </candidateList>
      <explain>〈名〉事物分成的门类：服务～｜体育～｜建设～。</explain>
      <paraID>4D22AC62</paraID>
      <start>2</start>
      <end>4</end>
      <status>modified</status>
      <modifiedWord>项目</modifiedWord>
      <trackRevisions>false</trackRevisions>
    </reviewItem>
    <reviewItem>
      <errorID>fb0bd8a3-a2ad-412e-bfa2-baabaee5c542</errorID>
      <errorWord>详实</errorWord>
      <group>L1_Word</group>
      <groupName>字词问题</groupName>
      <ability>L2_Typo</ability>
      <abilityName>字词错误</abilityName>
      <candidateList>
        <item>翔实</item>
      </candidateList>
      <explain/>
      <paraID>48562194</paraID>
      <start>6</start>
      <end>8</end>
      <status>unmodified</status>
      <modifiedWord/>
      <trackRevisions>false</trackRevisions>
    </reviewItem>
    <reviewItem>
      <errorID>88c23763-2898-4462-90fa-802ebb88f234</errorID>
      <errorWord>详实</errorWord>
      <group>L1_Word</group>
      <groupName>字词问题</groupName>
      <ability>L2_Typo</ability>
      <abilityName>字词错误</abilityName>
      <candidateList>
        <item>翔实</item>
      </candidateList>
      <explain/>
      <paraID>24250D2D</paraID>
      <start>11</start>
      <end>13</end>
      <status>unmodified</status>
      <modifiedWord/>
      <trackRevisions>false</trackRevisions>
    </reviewItem>
    <reviewItem>
      <errorID>251c860b-ea3d-42c3-952a-fc64747abf73</errorID>
      <errorWord>、</errorWord>
      <group>L1_Word</group>
      <groupName>字词问题</groupName>
      <ability>L2_Typo</ability>
      <abilityName>字词错误</abilityName>
      <candidateList>
        <item>、具</item>
      </candidateList>
      <explain/>
      <paraID>24250D2D</paraID>
      <start>31</start>
      <end>33</end>
      <status>modified</status>
      <modifiedWord>、具</modifiedWord>
      <trackRevisions>false</trackRevisions>
    </reviewItem>
    <reviewItem>
      <errorID>484c186a-5216-44e2-be17-e1955d9f5167</errorID>
      <errorWord>详实</errorWord>
      <group>L1_Word</group>
      <groupName>字词问题</groupName>
      <ability>L2_Typo</ability>
      <abilityName>字词错误</abilityName>
      <candidateList>
        <item>翔实</item>
      </candidateList>
      <explain/>
      <paraID> 578C074</paraID>
      <start>4</start>
      <end>6</end>
      <status>unmodified</status>
      <modifiedWord/>
      <trackRevisions>false</trackRevisions>
    </reviewItem>
    <reviewItem>
      <errorID>1c42a5a6-d6d9-4f19-abe9-d0a98f3ba182</errorID>
      <errorWord>商</errorWord>
      <group>L1_Word</group>
      <groupName>字词问题</groupName>
      <ability>L2_Typo</ability>
      <abilityName>字词错误</abilityName>
      <candidateList>
        <item>商最</item>
      </candidateList>
      <explain/>
      <paraID>26F97FF0</paraID>
      <start>4</start>
      <end>5</end>
      <status>unmodified</status>
      <modifiedWord/>
      <trackRevisions>false</trackRevisions>
    </reviewItem>
    <reviewItem>
      <errorID>80efa827-c894-4b58-a539-e46ef1cea447</errorID>
      <errorWord>的</errorWord>
      <group>L1_Word</group>
      <groupName>字词问题</groupName>
      <ability>L2_Typo</ability>
      <abilityName>字词错误</abilityName>
      <candidateList>
        <item>的最</item>
      </candidateList>
      <explain/>
      <paraID>26F97FF0</paraID>
      <start>51</start>
      <end>52</end>
      <status>unmodified</status>
      <modifiedWord/>
      <trackRevisions>false</trackRevisions>
    </reviewItem>
    <reviewItem>
      <errorID>0be9eef5-d02f-46c8-b9ca-10ac46fd3f31</errorID>
      <errorWord>审</errorWord>
      <group>L1_Word</group>
      <groupName>字词问题</groupName>
      <ability>L2_Typo</ability>
      <abilityName>字词错误</abilityName>
      <candidateList>
        <item>审计</item>
      </candidateList>
      <explain/>
      <paraID>26F97FF0</paraID>
      <start>71</start>
      <end>72</end>
      <status>unmodified</status>
      <modifiedWord/>
      <trackRevisions>false</trackRevisions>
    </reviewItem>
    <reviewItem>
      <errorID>5013b267-8e2b-48df-aec8-422b3119fc86</errorID>
      <errorWord>商</errorWord>
      <group>L1_Word</group>
      <groupName>字词问题</groupName>
      <ability>L2_Typo</ability>
      <abilityName>字词错误</abilityName>
      <candidateList>
        <item>商最</item>
      </candidateList>
      <explain/>
      <paraID>6287740A</paraID>
      <start>4</start>
      <end>5</end>
      <status>unmodified</status>
      <modifiedWord/>
      <trackRevisions>false</trackRevisions>
    </reviewItem>
    <reviewItem>
      <errorID>bdbd5812-9736-47b1-91aa-e93cb8e127d6</errorID>
      <errorWord>提交的</errorWord>
      <group>L1_Word</group>
      <groupName>字词问题</groupName>
      <ability>L2_Typo</ability>
      <abilityName>字词错误</abilityName>
      <candidateList>
        <item>提交</item>
      </candidateList>
      <explain/>
      <paraID>3A4607CC</paraID>
      <start>38</start>
      <end>41</end>
      <status>unmodified</status>
      <modifiedWord/>
      <trackRevisions>false</trackRevisions>
    </reviewItem>
    <reviewItem>
      <errorID>5fdf804f-aa3f-469f-b2a1-96fbc1f34f91</errorID>
      <errorWord>间</errorWord>
      <group>L1_Word</group>
      <groupName>字词问题</groupName>
      <ability>L2_Typo</ability>
      <abilityName>字词错误</abilityName>
      <candidateList>
        <item>间内</item>
      </candidateList>
      <explain/>
      <paraID>1756BB6F</paraID>
      <start>44</start>
      <end>45</end>
      <status>unmodified</status>
      <modifiedWord/>
      <trackRevisions>false</trackRevisions>
    </reviewItem>
    <reviewItem>
      <errorID>146eddd5-73ee-425d-9e22-b9810db0466e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1682088A</paraID>
      <start>0</start>
      <end>2</end>
      <status>modified</status>
      <modifiedWord>1.</modifiedWord>
      <trackRevisions>false</trackRevisions>
    </reviewItem>
    <reviewItem>
      <errorID>68ed6218-9d75-4356-8456-eff30d58957c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F23BE0E</paraID>
      <start>0</start>
      <end>2</end>
      <status>modified</status>
      <modifiedWord>2.</modifiedWord>
      <trackRevisions>false</trackRevisions>
    </reviewItem>
    <reviewItem>
      <errorID>6240b688-4e06-4745-b752-81b548a3ccec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2BF10733</paraID>
      <start>0</start>
      <end>2</end>
      <status>modified</status>
      <modifiedWord>3.</modifiedWord>
      <trackRevisions>false</trackRevisions>
    </reviewItem>
    <reviewItem>
      <errorID>74c8856a-f42d-44c0-b330-c513399f5bca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64BD4F62</paraID>
      <start>0</start>
      <end>2</end>
      <status>modified</status>
      <modifiedWord>4.</modifiedWord>
      <trackRevisions>false</trackRevisions>
    </reviewItem>
    <reviewItem>
      <errorID>4fc14154-3560-46f0-8d61-11cf2365eff6</errorID>
      <errorWord>(</errorWord>
      <group>L1_Format</group>
      <groupName>格式问题</groupName>
      <ability>L2_HalfPunc</ability>
      <abilityName>全半角检查</abilityName>
      <candidateList>
        <item>（</item>
      </candidateList>
      <explain>文本全半角错误。</explain>
      <paraID>24EDEB67</paraID>
      <start>31</start>
      <end>32</end>
      <status>unmodified</status>
      <modifiedWord/>
      <trackRevisions>false</trackRevisions>
    </reviewItem>
    <reviewItem>
      <errorID>703b2ba7-3b76-4e3c-9383-170353c698f0</errorID>
      <errorWord>)</errorWord>
      <group>L1_Format</group>
      <groupName>格式问题</groupName>
      <ability>L2_HalfPunc</ability>
      <abilityName>全半角检查</abilityName>
      <candidateList>
        <item>）</item>
      </candidateList>
      <explain>文本全半角错误。</explain>
      <paraID>24EDEB67</paraID>
      <start>36</start>
      <end>37</end>
      <status>unmodified</status>
      <modifiedWord/>
      <trackRevisions>false</trackRevisions>
    </reviewItem>
    <reviewItem>
      <errorID>2e0e6569-a4ec-45fc-8f22-720126d09c3a</errorID>
      <errorWord>(</errorWord>
      <group>L1_Format</group>
      <groupName>格式问题</groupName>
      <ability>L2_HalfPunc</ability>
      <abilityName>全半角检查</abilityName>
      <candidateList>
        <item>（</item>
      </candidateList>
      <explain>文本全半角错误。</explain>
      <paraID>56B508FF</paraID>
      <start>54</start>
      <end>55</end>
      <status>unmodified</status>
      <modifiedWord/>
      <trackRevisions>false</trackRevisions>
    </reviewItem>
    <reviewItem>
      <errorID>c228061a-d546-494e-960e-6c384487a997</errorID>
      <errorWord>)</errorWord>
      <group>L1_Format</group>
      <groupName>格式问题</groupName>
      <ability>L2_HalfPunc</ability>
      <abilityName>全半角检查</abilityName>
      <candidateList>
        <item>）</item>
      </candidateList>
      <explain>文本全半角错误。</explain>
      <paraID>56B508FF</paraID>
      <start>58</start>
      <end>59</end>
      <status>unmodified</status>
      <modifiedWord/>
      <trackRevisions>false</trackRevisions>
    </reviewItem>
    <reviewItem>
      <errorID>8833be2a-545f-4120-93df-f0e03485c661</errorID>
      <errorWord>（</errorWord>
      <group>L1_Punc</group>
      <groupName>标点问题</groupName>
      <ability>L2_Punc</ability>
      <abilityName>标点符号检查</abilityName>
      <candidateList/>
      <explain>同一形式括号套用。</explain>
      <paraID>29222CAF</paraID>
      <start>27</start>
      <end>28</end>
      <status>unmodified</status>
      <modifiedWord/>
      <trackRevisions>false</trackRevisions>
    </reviewItem>
    <reviewItem>
      <errorID>a723153b-2de9-4c4f-af15-9874ac9aa9cf</errorID>
      <errorWord>）</errorWord>
      <group>L1_Punc</group>
      <groupName>标点问题</groupName>
      <ability>L2_Punc</ability>
      <abilityName>标点符号检查</abilityName>
      <candidateList/>
      <explain>同一形式括号套用。</explain>
      <paraID>29222CAF</paraID>
      <start>44</start>
      <end>45</end>
      <status>unmodified</status>
      <modifiedWord/>
      <trackRevisions>false</trackRevisions>
    </reviewItem>
    <reviewItem>
      <errorID>55b26af3-ef7a-4f3d-b52c-78273d9fef9c</errorID>
      <errorWord>（</errorWord>
      <group>L1_Punc</group>
      <groupName>标点问题</groupName>
      <ability>L2_Punc</ability>
      <abilityName>标点符号检查</abilityName>
      <candidateList>
        <item/>
      </candidateList>
      <explain>同一形式括号套用。</explain>
      <paraID>77F4D946</paraID>
      <start>0</start>
      <end>1</end>
      <status>unmodified</status>
      <modifiedWord/>
      <trackRevisions>false</trackRevisions>
    </reviewItem>
    <reviewItem>
      <errorID>5b01a7fc-1915-4b05-9826-468464090ebd</errorID>
      <errorWord>(</errorWord>
      <group>L1_Punc</group>
      <groupName>标点问题</groupName>
      <ability>L2_Punc</ability>
      <abilityName>标点符号检查</abilityName>
      <candidateList/>
      <explain>同一形式括号套用。</explain>
      <paraID>77F4D946</paraID>
      <start>19</start>
      <end>20</end>
      <status>unmodified</status>
      <modifiedWord/>
      <trackRevisions>false</trackRevisions>
    </reviewItem>
    <reviewItem>
      <errorID>0e81227b-6922-4842-9762-a1b9dedc65f8</errorID>
      <errorWord>)</errorWord>
      <group>L1_Punc</group>
      <groupName>标点问题</groupName>
      <ability>L2_Punc</ability>
      <abilityName>标点符号检查</abilityName>
      <candidateList/>
      <explain>同一形式括号套用。</explain>
      <paraID>77F4D946</paraID>
      <start>29</start>
      <end>30</end>
      <status>unmodified</status>
      <modifiedWord/>
      <trackRevisions>false</trackRevisions>
    </reviewItem>
    <reviewItem>
      <errorID>b0ff9bac-3c86-4f23-b20c-e7dbb107c722</errorID>
      <errorWord>）</errorWord>
      <group>L1_Punc</group>
      <groupName>标点问题</groupName>
      <ability>L2_Punc</ability>
      <abilityName>标点符号检查</abilityName>
      <candidateList/>
      <explain>同一形式括号套用。</explain>
      <paraID>77F4D946</paraID>
      <start>44</start>
      <end>45</end>
      <status>unmodified</status>
      <modifiedWord/>
      <trackRevisions>false</trackRevisions>
    </reviewItem>
    <reviewItem>
      <errorID>b69d26f2-9938-4917-a2fa-ebba3bfb5949</errorID>
      <errorWord>,</errorWord>
      <group>L1_Format</group>
      <groupName>格式问题</groupName>
      <ability>L2_HalfPunc</ability>
      <abilityName>全半角检查</abilityName>
      <candidateList>
        <item>，</item>
      </candidateList>
      <explain>文本全半角错误。</explain>
      <paraID>728027FF</paraID>
      <start>45</start>
      <end>46</end>
      <status>unmodified</status>
      <modifiedWord/>
      <trackRevisions>false</trackRevisions>
    </reviewItem>
    <reviewItem>
      <errorID>a78a8cfe-9a90-4eb8-bcf0-88f8eca73d06</errorID>
      <errorWord>(</errorWord>
      <group>L1_Format</group>
      <groupName>格式问题</groupName>
      <ability>L2_HalfPunc</ability>
      <abilityName>全半角检查</abilityName>
      <candidateList>
        <item>（</item>
      </candidateList>
      <explain>文本全半角错误。</explain>
      <paraID>6B68DAA3</paraID>
      <start>2</start>
      <end>3</end>
      <status>unmodified</status>
      <modifiedWord/>
      <trackRevisions>false</trackRevisions>
    </reviewItem>
    <reviewItem>
      <errorID>dc4bbe61-574f-47b8-aaf6-474c51dbc3f4</errorID>
      <errorWord>)</errorWord>
      <group>L1_Format</group>
      <groupName>格式问题</groupName>
      <ability>L2_HalfPunc</ability>
      <abilityName>全半角检查</abilityName>
      <candidateList>
        <item>）</item>
      </candidateList>
      <explain>文本全半角错误。</explain>
      <paraID>6B68DAA3</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textRotate="1"/>
    <customShpInfo spid="_x0000_s4099" textRotate="1"/>
    <customShpInfo spid="_x0000_s4098" textRotate="1"/>
    <customShpInfo spid="_x0000_s4101" textRotate="1"/>
    <customShpInfo spid="_x0000_s4100" textRotate="1"/>
    <customShpInfo spid="_x0000_s4103" textRotate="1"/>
    <customShpInfo spid="_x0000_s4102" textRotate="1"/>
    <customShpInfo spid="_x0000_s4104" textRotate="1"/>
    <customShpInfo spid="_x0000_s4106" textRotate="1"/>
    <customShpInfo spid="_x0000_s4105" textRotate="1"/>
  </customShpExts>
</s:customData>
</file>

<file path=customXml/itemProps1.xml><?xml version="1.0" encoding="utf-8"?>
<ds:datastoreItem xmlns:ds="http://schemas.openxmlformats.org/officeDocument/2006/customXml" ds:itemID="{AB171A78-2251-4659-9BE1-2C51DC73844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王璘</dc:creator>
  <cp:lastModifiedBy>王璘</cp:lastModifiedBy>
  <cp:revision>125</cp:revision>
  <dcterms:created xsi:type="dcterms:W3CDTF">2023-03-28T01:23:00Z</dcterms:created>
  <dcterms:modified xsi:type="dcterms:W3CDTF">2025-11-19T01:54:01Z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13964351B898434AAC93B880296D52E2_13</vt:lpwstr>
  </property>
  <property fmtid="{D5CDD505-2E9C-101B-9397-08002B2CF9AE}" pid="4" name="KSOTemplateDocerSaveRecord">
    <vt:lpwstr>eyJoZGlkIjoiYjJmOTM2NzZkZGFkZDMyMjhjYjdmOTUzNzk0MmY4MDgiLCJ1c2VySWQiOiIxNDc2MzA3NjM2In0=</vt:lpwstr>
  </property>
</Properties>
</file>